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E" w:rsidRDefault="00AF245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4CC6A2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spacing w:before="1"/>
        <w:rPr>
          <w:sz w:val="28"/>
        </w:rPr>
      </w:pPr>
    </w:p>
    <w:p w:rsidR="004F109E" w:rsidRDefault="00AF2457">
      <w:pPr>
        <w:spacing w:before="82" w:line="490" w:lineRule="exact"/>
        <w:ind w:left="3518" w:right="48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Macuxtepetla</w:t>
      </w:r>
      <w:proofErr w:type="spellEnd"/>
    </w:p>
    <w:p w:rsidR="004F109E" w:rsidRDefault="00AF2457">
      <w:pPr>
        <w:spacing w:line="260" w:lineRule="exact"/>
        <w:ind w:left="3517" w:right="48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HGOHUJ085</w:t>
      </w: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spacing w:before="10"/>
        <w:rPr>
          <w:sz w:val="18"/>
        </w:rPr>
      </w:pPr>
    </w:p>
    <w:p w:rsidR="004F109E" w:rsidRDefault="00AF2457">
      <w:pPr>
        <w:spacing w:before="90"/>
        <w:ind w:left="7010"/>
        <w:rPr>
          <w:sz w:val="24"/>
        </w:rPr>
      </w:pPr>
      <w:proofErr w:type="spellStart"/>
      <w:r>
        <w:rPr>
          <w:color w:val="231F20"/>
          <w:sz w:val="24"/>
        </w:rPr>
        <w:t>Macuxtepetla</w:t>
      </w:r>
      <w:proofErr w:type="spellEnd"/>
      <w:r>
        <w:rPr>
          <w:color w:val="231F20"/>
          <w:sz w:val="24"/>
        </w:rPr>
        <w:t>: 130280061</w:t>
      </w:r>
    </w:p>
    <w:p w:rsidR="004F109E" w:rsidRDefault="004F109E">
      <w:pPr>
        <w:rPr>
          <w:sz w:val="24"/>
        </w:rPr>
        <w:sectPr w:rsidR="004F109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AF2457">
      <w:pPr>
        <w:spacing w:before="218"/>
        <w:ind w:left="3518" w:right="48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F109E" w:rsidRDefault="004F109E">
      <w:pPr>
        <w:pStyle w:val="Textoindependiente"/>
        <w:spacing w:before="8"/>
        <w:rPr>
          <w:b/>
          <w:sz w:val="40"/>
        </w:rPr>
      </w:pPr>
    </w:p>
    <w:p w:rsidR="004F109E" w:rsidRDefault="00AF2457">
      <w:pPr>
        <w:ind w:left="401" w:right="1696"/>
        <w:jc w:val="both"/>
        <w:rPr>
          <w:b/>
          <w:sz w:val="24"/>
        </w:rPr>
      </w:pPr>
      <w:r>
        <w:rPr>
          <w:sz w:val="24"/>
        </w:rP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rPr>
          <w:sz w:val="24"/>
        </w:rP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Macuxtepetla</w:t>
      </w:r>
      <w:proofErr w:type="spellEnd"/>
      <w:r>
        <w:rPr>
          <w:sz w:val="24"/>
        </w:rPr>
        <w:t>, del Municipio de Huejutla de Re</w:t>
      </w:r>
      <w:r>
        <w:rPr>
          <w:sz w:val="24"/>
        </w:rPr>
        <w:t xml:space="preserve">yes, con clave INEGI </w:t>
      </w:r>
      <w:r>
        <w:rPr>
          <w:b/>
          <w:sz w:val="24"/>
        </w:rPr>
        <w:t xml:space="preserve">130280061, </w:t>
      </w:r>
      <w:r>
        <w:rPr>
          <w:sz w:val="24"/>
        </w:rPr>
        <w:t xml:space="preserve">reúne las estructuras sociales y culturales para ser considerada como </w:t>
      </w:r>
      <w:r>
        <w:rPr>
          <w:b/>
          <w:sz w:val="24"/>
        </w:rPr>
        <w:t xml:space="preserve">INDÍGENA </w:t>
      </w:r>
      <w:r>
        <w:rPr>
          <w:sz w:val="24"/>
        </w:rPr>
        <w:t xml:space="preserve">y ser incluida en el </w:t>
      </w:r>
      <w:r>
        <w:rPr>
          <w:b/>
          <w:sz w:val="24"/>
        </w:rPr>
        <w:t xml:space="preserve">Catálogo de Comunidades Indígenas del Estado de Hidalgo </w:t>
      </w:r>
      <w:r>
        <w:rPr>
          <w:sz w:val="24"/>
        </w:rPr>
        <w:t>con la clave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HGOHUJ085.</w:t>
      </w:r>
    </w:p>
    <w:p w:rsidR="004F109E" w:rsidRDefault="004F109E">
      <w:pPr>
        <w:pStyle w:val="Textoindependiente"/>
        <w:rPr>
          <w:b/>
          <w:sz w:val="24"/>
        </w:rPr>
      </w:pPr>
    </w:p>
    <w:p w:rsidR="004F109E" w:rsidRDefault="00AF2457">
      <w:pPr>
        <w:pStyle w:val="Textoindependiente"/>
        <w:ind w:left="401" w:right="1698"/>
        <w:jc w:val="both"/>
      </w:pPr>
      <w:proofErr w:type="spellStart"/>
      <w:r>
        <w:rPr>
          <w:b/>
        </w:rPr>
        <w:t>Macuxtepetla</w:t>
      </w:r>
      <w:proofErr w:type="spellEnd"/>
      <w:r>
        <w:rPr>
          <w:b/>
        </w:rPr>
        <w:t xml:space="preserve"> </w:t>
      </w:r>
      <w:r>
        <w:t>mantiene una intensa vida soci</w:t>
      </w:r>
      <w:r>
        <w:t>al articulada por sus autoridades que son elegidas por un periodo de un año en Asambleas Generales a las cuales convocan a las personas que viven en la comunidad. La asamblea cumple la función de Consejo y es la máxima autoridad.</w:t>
      </w:r>
    </w:p>
    <w:p w:rsidR="004F109E" w:rsidRDefault="004F109E">
      <w:pPr>
        <w:pStyle w:val="Textoindependiente"/>
        <w:spacing w:before="1"/>
      </w:pPr>
    </w:p>
    <w:p w:rsidR="004F109E" w:rsidRDefault="00AF2457">
      <w:pPr>
        <w:pStyle w:val="Textoindependiente"/>
        <w:ind w:left="401" w:right="1697"/>
        <w:jc w:val="both"/>
      </w:pPr>
      <w:r>
        <w:t>Esta comunidad tiene un 6</w:t>
      </w:r>
      <w:r>
        <w:t>2 por ciento de Hablantes de Lengua Indígena. Se advierte que el náhuatl es utilizado sólo por las personas mayores; ya que los jóvenes y niños están abandonando su uso porque sus padres consideran que es mejor que aprendan el castellano pues les abrirá má</w:t>
      </w:r>
      <w:r>
        <w:t>s oportunidades.</w:t>
      </w:r>
    </w:p>
    <w:p w:rsidR="004F109E" w:rsidRDefault="004F109E">
      <w:pPr>
        <w:pStyle w:val="Textoindependiente"/>
        <w:spacing w:before="11"/>
        <w:rPr>
          <w:sz w:val="21"/>
        </w:rPr>
      </w:pPr>
    </w:p>
    <w:p w:rsidR="004F109E" w:rsidRDefault="00AF2457">
      <w:pPr>
        <w:pStyle w:val="Textoindependiente"/>
        <w:ind w:left="401" w:right="1698"/>
        <w:jc w:val="both"/>
      </w:pPr>
      <w:r>
        <w:t>Sobre las prácticas culturales, se observa que la Fiesta Patronal, el Carnaval y Día de Muertos mantienen su carácter unificador. También se constató que otras ceremonias y ritos agrícolas se están perdiendo pues la agricultura ya no es tan redituable.</w:t>
      </w:r>
    </w:p>
    <w:p w:rsidR="004F109E" w:rsidRDefault="004F109E">
      <w:pPr>
        <w:pStyle w:val="Textoindependiente"/>
      </w:pPr>
    </w:p>
    <w:p w:rsidR="004F109E" w:rsidRDefault="00AF2457">
      <w:pPr>
        <w:pStyle w:val="Textoindependiente"/>
        <w:ind w:left="401" w:right="1696"/>
        <w:jc w:val="both"/>
      </w:pPr>
      <w:r>
        <w:t>En</w:t>
      </w:r>
      <w:r>
        <w:t xml:space="preserve"> cuanto a la impartición de justicia, se da principalmente al interior de la comunidad ya que la mayoría de faltas son solucionadas por el Delegado y su Comitiva; en la comunidad aparentemente no ha habido faltas que ameriten la intervención de autoridades</w:t>
      </w:r>
      <w:r>
        <w:t xml:space="preserve"> municipales.</w:t>
      </w:r>
    </w:p>
    <w:p w:rsidR="004F109E" w:rsidRDefault="004F109E">
      <w:pPr>
        <w:pStyle w:val="Textoindependiente"/>
        <w:spacing w:before="11"/>
        <w:rPr>
          <w:sz w:val="21"/>
        </w:rPr>
      </w:pPr>
    </w:p>
    <w:p w:rsidR="004F109E" w:rsidRDefault="00AF2457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malestares físicos, sin embargo, se encontró que aún es frecuente el uso de hierbas y tés como remedios a diversas enfermedades; </w:t>
      </w:r>
      <w:r>
        <w:t>en relación a los médicos tradicionales hay yerbero, chupador y partera.</w:t>
      </w:r>
    </w:p>
    <w:p w:rsidR="004F109E" w:rsidRDefault="004F109E">
      <w:pPr>
        <w:jc w:val="both"/>
        <w:sectPr w:rsidR="004F109E">
          <w:pgSz w:w="12240" w:h="15840"/>
          <w:pgMar w:top="1060" w:right="0" w:bottom="280" w:left="1300" w:header="720" w:footer="720" w:gutter="0"/>
          <w:cols w:space="720"/>
        </w:sect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AF2457">
      <w:pPr>
        <w:pStyle w:val="Ttulo1"/>
      </w:pPr>
      <w:r>
        <w:t>DICTAMEN</w:t>
      </w:r>
    </w:p>
    <w:p w:rsidR="004F109E" w:rsidRDefault="004F109E">
      <w:pPr>
        <w:pStyle w:val="Textoindependiente"/>
        <w:spacing w:before="8"/>
        <w:rPr>
          <w:b/>
          <w:sz w:val="40"/>
        </w:rPr>
      </w:pPr>
    </w:p>
    <w:p w:rsidR="004F109E" w:rsidRDefault="00AF2457">
      <w:pPr>
        <w:pStyle w:val="Ttulo2"/>
        <w:rPr>
          <w:b/>
        </w:rPr>
      </w:pPr>
      <w:r>
        <w:t>Después de analizar la información proveniente del instrumento de levantamiento de información aplicado (cédula) en las localidades seleccionadas (por h</w:t>
      </w:r>
      <w:r>
        <w:t>aber cumplido los requisitos de contar con más de cien habitantes y que mantuvieran un índice superior a la media nacional de Hablantes de Lengua Indígena) y de la ponderación de las variables que se consideraron en la metodología de este estudio, el equip</w:t>
      </w:r>
      <w:r>
        <w:t xml:space="preserve">o académico de este proyecto considera que la comunidad de </w:t>
      </w:r>
      <w:proofErr w:type="spellStart"/>
      <w:r>
        <w:rPr>
          <w:b/>
          <w:sz w:val="32"/>
        </w:rPr>
        <w:t>Macuxtepetla</w:t>
      </w:r>
      <w:proofErr w:type="spellEnd"/>
      <w:r>
        <w:t xml:space="preserve">, del Municipio de Huejutla de Reyes, con clave INEGI </w:t>
      </w:r>
      <w:r>
        <w:rPr>
          <w:b/>
        </w:rPr>
        <w:t xml:space="preserve">130280061,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>Catálogo de Comunida</w:t>
      </w:r>
      <w:r>
        <w:rPr>
          <w:b/>
        </w:rPr>
        <w:t xml:space="preserve">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HGOHUJ085.</w:t>
      </w:r>
    </w:p>
    <w:p w:rsidR="004F109E" w:rsidRDefault="004F109E">
      <w:pPr>
        <w:pStyle w:val="Textoindependiente"/>
        <w:rPr>
          <w:b/>
          <w:sz w:val="24"/>
        </w:rPr>
      </w:pPr>
    </w:p>
    <w:p w:rsidR="004F109E" w:rsidRDefault="00AF2457">
      <w:pPr>
        <w:pStyle w:val="Textoindependiente"/>
        <w:ind w:left="401" w:right="1698"/>
        <w:jc w:val="both"/>
      </w:pPr>
      <w:proofErr w:type="spellStart"/>
      <w:r>
        <w:rPr>
          <w:b/>
        </w:rPr>
        <w:t>Macuxtepetla</w:t>
      </w:r>
      <w:proofErr w:type="spellEnd"/>
      <w:r>
        <w:rPr>
          <w:b/>
        </w:rPr>
        <w:t xml:space="preserve"> </w:t>
      </w:r>
      <w:r>
        <w:t xml:space="preserve">mantiene una intensa vida social articulada por sus autoridades que son elegidas por un periodo de un año en Asambleas Generales a las cuales convocan a las personas que viven en la </w:t>
      </w:r>
      <w:r>
        <w:t>comunidad. La asamblea cumple la función de Consejo y es la máxima autoridad.</w:t>
      </w:r>
    </w:p>
    <w:p w:rsidR="004F109E" w:rsidRDefault="004F109E">
      <w:pPr>
        <w:pStyle w:val="Textoindependiente"/>
        <w:spacing w:before="1"/>
      </w:pPr>
    </w:p>
    <w:p w:rsidR="004F109E" w:rsidRDefault="00AF2457">
      <w:pPr>
        <w:pStyle w:val="Textoindependiente"/>
        <w:ind w:left="401" w:right="1697"/>
        <w:jc w:val="both"/>
      </w:pPr>
      <w:r>
        <w:t>Esta comunidad tiene un 62 por ciento de Hablantes de Lengua Indígena. Se advierte que el náhuatl es utilizado sólo por las personas mayores; ya que los jóvenes y niños están abandonando su uso porque sus padres consideran que es mejor que aprendan el cast</w:t>
      </w:r>
      <w:r>
        <w:t>ellano pues les abrirá más oportunidades.</w:t>
      </w:r>
    </w:p>
    <w:p w:rsidR="004F109E" w:rsidRDefault="004F109E">
      <w:pPr>
        <w:pStyle w:val="Textoindependiente"/>
        <w:spacing w:before="11"/>
        <w:rPr>
          <w:sz w:val="21"/>
        </w:rPr>
      </w:pPr>
    </w:p>
    <w:p w:rsidR="004F109E" w:rsidRDefault="00AF2457">
      <w:pPr>
        <w:pStyle w:val="Textoindependiente"/>
        <w:ind w:left="401" w:right="1698"/>
        <w:jc w:val="both"/>
      </w:pPr>
      <w:r>
        <w:t xml:space="preserve">Sobre las prácticas culturales, se observa que la Fiesta Patronal, el Carnaval y Día de Muertos mantienen su carácter unificador. También se constató que otras ceremonias y ritos agrícolas se están perdiendo pues </w:t>
      </w:r>
      <w:r>
        <w:t>la agricultura ya no es tan redituable.</w:t>
      </w:r>
    </w:p>
    <w:p w:rsidR="004F109E" w:rsidRDefault="004F109E">
      <w:pPr>
        <w:pStyle w:val="Textoindependiente"/>
      </w:pPr>
    </w:p>
    <w:p w:rsidR="004F109E" w:rsidRDefault="00AF2457">
      <w:pPr>
        <w:pStyle w:val="Textoindependiente"/>
        <w:ind w:left="401" w:right="1696"/>
        <w:jc w:val="both"/>
      </w:pPr>
      <w:r>
        <w:t xml:space="preserve">En cuanto a la impartición de justicia, se da principalmente al interior de la comunidad ya que la mayoría de faltas son solucionadas por el Delegado y su Comitiva; en la comunidad aparentemente no ha habido faltas </w:t>
      </w:r>
      <w:r>
        <w:t>que ameriten la intervención de autoridades municipales.</w:t>
      </w:r>
    </w:p>
    <w:p w:rsidR="004F109E" w:rsidRDefault="004F109E">
      <w:pPr>
        <w:pStyle w:val="Textoindependiente"/>
        <w:spacing w:before="11"/>
        <w:rPr>
          <w:sz w:val="21"/>
        </w:rPr>
      </w:pPr>
    </w:p>
    <w:p w:rsidR="004F109E" w:rsidRDefault="00AF2457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malestares físicos, sin embargo, se encontró que aún es frecuente el uso de hierbas y </w:t>
      </w:r>
      <w:r>
        <w:t>tés como remedios a diversas enfermedades; en relación a los médicos tradicionales hay yerbero, chupador y partera.</w:t>
      </w:r>
    </w:p>
    <w:p w:rsidR="004F109E" w:rsidRDefault="004F109E">
      <w:pPr>
        <w:jc w:val="both"/>
        <w:sectPr w:rsidR="004F109E">
          <w:pgSz w:w="12240" w:h="15840"/>
          <w:pgMar w:top="1060" w:right="0" w:bottom="280" w:left="1300" w:header="720" w:footer="720" w:gutter="0"/>
          <w:cols w:space="720"/>
        </w:sect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F109E">
        <w:trPr>
          <w:trHeight w:val="759"/>
        </w:trPr>
        <w:tc>
          <w:tcPr>
            <w:tcW w:w="7544" w:type="dxa"/>
            <w:gridSpan w:val="3"/>
          </w:tcPr>
          <w:p w:rsidR="004F109E" w:rsidRDefault="00AF2457">
            <w:pPr>
              <w:pStyle w:val="TableParagraph"/>
              <w:spacing w:line="193" w:lineRule="exact"/>
              <w:ind w:left="2521" w:right="246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Macuxtepetla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4F109E">
        <w:trPr>
          <w:trHeight w:val="741"/>
        </w:trPr>
        <w:tc>
          <w:tcPr>
            <w:tcW w:w="4640" w:type="dxa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F109E" w:rsidRDefault="004F109E">
            <w:pPr>
              <w:pStyle w:val="TableParagraph"/>
              <w:rPr>
                <w:sz w:val="16"/>
              </w:rPr>
            </w:pPr>
          </w:p>
          <w:p w:rsidR="004F109E" w:rsidRDefault="004F109E">
            <w:pPr>
              <w:pStyle w:val="TableParagraph"/>
              <w:rPr>
                <w:sz w:val="16"/>
              </w:rPr>
            </w:pPr>
          </w:p>
          <w:p w:rsidR="004F109E" w:rsidRDefault="004F109E">
            <w:pPr>
              <w:pStyle w:val="TableParagraph"/>
              <w:spacing w:before="8"/>
              <w:rPr>
                <w:sz w:val="16"/>
              </w:rPr>
            </w:pPr>
          </w:p>
          <w:p w:rsidR="004F109E" w:rsidRDefault="00AF2457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F109E">
        <w:trPr>
          <w:trHeight w:val="189"/>
        </w:trPr>
        <w:tc>
          <w:tcPr>
            <w:tcW w:w="4640" w:type="dxa"/>
          </w:tcPr>
          <w:p w:rsidR="004F109E" w:rsidRDefault="004F109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F109E" w:rsidRDefault="00AF245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F109E" w:rsidRDefault="00AF245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HGOHUJ085</w:t>
            </w:r>
          </w:p>
        </w:tc>
      </w:tr>
      <w:tr w:rsidR="004F109E">
        <w:trPr>
          <w:trHeight w:val="369"/>
        </w:trPr>
        <w:tc>
          <w:tcPr>
            <w:tcW w:w="4640" w:type="dxa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F109E" w:rsidRDefault="00AF2457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F109E" w:rsidRDefault="00AF2457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130280061</w:t>
            </w:r>
          </w:p>
        </w:tc>
      </w:tr>
      <w:tr w:rsidR="004F109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F109E" w:rsidRDefault="00AF2457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F109E" w:rsidRDefault="00AF245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F109E" w:rsidRDefault="00AF245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F109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F109E" w:rsidRDefault="00AF245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F109E" w:rsidRDefault="00AF245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F109E">
        <w:trPr>
          <w:trHeight w:val="185"/>
        </w:trPr>
        <w:tc>
          <w:tcPr>
            <w:tcW w:w="4640" w:type="dxa"/>
            <w:shd w:val="clear" w:color="auto" w:fill="92D050"/>
          </w:tcPr>
          <w:p w:rsidR="004F109E" w:rsidRDefault="00AF245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F109E" w:rsidRDefault="00AF245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F109E" w:rsidRDefault="00AF2457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62.2%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109E">
        <w:trPr>
          <w:trHeight w:val="185"/>
        </w:trPr>
        <w:tc>
          <w:tcPr>
            <w:tcW w:w="4640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109E">
        <w:trPr>
          <w:trHeight w:val="185"/>
        </w:trPr>
        <w:tc>
          <w:tcPr>
            <w:tcW w:w="4640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F109E">
        <w:trPr>
          <w:trHeight w:val="185"/>
        </w:trPr>
        <w:tc>
          <w:tcPr>
            <w:tcW w:w="4640" w:type="dxa"/>
            <w:shd w:val="clear" w:color="auto" w:fill="FFFF00"/>
          </w:tcPr>
          <w:p w:rsidR="004F109E" w:rsidRDefault="00AF245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F109E" w:rsidRDefault="00AF245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F109E" w:rsidRDefault="00AF245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FFFF00"/>
          </w:tcPr>
          <w:p w:rsidR="004F109E" w:rsidRDefault="00AF24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FFFF00"/>
          </w:tcPr>
          <w:p w:rsidR="004F109E" w:rsidRDefault="00AF24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FFFF00"/>
          </w:tcPr>
          <w:p w:rsidR="004F109E" w:rsidRDefault="00AF24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F109E">
        <w:trPr>
          <w:trHeight w:val="185"/>
        </w:trPr>
        <w:tc>
          <w:tcPr>
            <w:tcW w:w="4640" w:type="dxa"/>
            <w:shd w:val="clear" w:color="auto" w:fill="F9BE8F"/>
          </w:tcPr>
          <w:p w:rsidR="004F109E" w:rsidRDefault="00AF245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F109E" w:rsidRDefault="00AF245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F109E" w:rsidRDefault="00AF245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F9BE8F"/>
          </w:tcPr>
          <w:p w:rsidR="004F109E" w:rsidRDefault="00AF24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F9BE8F"/>
          </w:tcPr>
          <w:p w:rsidR="004F109E" w:rsidRDefault="00AF24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109E">
        <w:trPr>
          <w:trHeight w:val="184"/>
        </w:trPr>
        <w:tc>
          <w:tcPr>
            <w:tcW w:w="4640" w:type="dxa"/>
            <w:shd w:val="clear" w:color="auto" w:fill="F9BE8F"/>
          </w:tcPr>
          <w:p w:rsidR="004F109E" w:rsidRDefault="00AF24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F109E" w:rsidRDefault="00AF24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F109E" w:rsidRDefault="00AF24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109E">
        <w:trPr>
          <w:trHeight w:val="187"/>
        </w:trPr>
        <w:tc>
          <w:tcPr>
            <w:tcW w:w="4640" w:type="dxa"/>
            <w:shd w:val="clear" w:color="auto" w:fill="DCE6F0"/>
          </w:tcPr>
          <w:p w:rsidR="004F109E" w:rsidRDefault="00AF245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F109E" w:rsidRDefault="00AF245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F109E" w:rsidRDefault="00AF245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F109E">
        <w:trPr>
          <w:trHeight w:val="3141"/>
        </w:trPr>
        <w:tc>
          <w:tcPr>
            <w:tcW w:w="4640" w:type="dxa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AF2457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</w:tc>
      </w:tr>
      <w:tr w:rsidR="004F109E">
        <w:trPr>
          <w:trHeight w:val="185"/>
        </w:trPr>
        <w:tc>
          <w:tcPr>
            <w:tcW w:w="7544" w:type="dxa"/>
            <w:gridSpan w:val="3"/>
          </w:tcPr>
          <w:p w:rsidR="004F109E" w:rsidRDefault="00AF2457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F109E">
        <w:trPr>
          <w:trHeight w:val="164"/>
        </w:trPr>
        <w:tc>
          <w:tcPr>
            <w:tcW w:w="4640" w:type="dxa"/>
          </w:tcPr>
          <w:p w:rsidR="004F109E" w:rsidRDefault="00AF245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F109E" w:rsidRDefault="004F109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F109E" w:rsidRDefault="004F109E">
            <w:pPr>
              <w:pStyle w:val="TableParagraph"/>
              <w:rPr>
                <w:sz w:val="10"/>
              </w:rPr>
            </w:pPr>
          </w:p>
        </w:tc>
      </w:tr>
    </w:tbl>
    <w:p w:rsidR="004F109E" w:rsidRDefault="004F109E">
      <w:pPr>
        <w:rPr>
          <w:sz w:val="10"/>
        </w:rPr>
        <w:sectPr w:rsidR="004F109E">
          <w:pgSz w:w="11910" w:h="16840"/>
          <w:pgMar w:top="1600" w:right="0" w:bottom="280" w:left="1680" w:header="720" w:footer="720" w:gutter="0"/>
          <w:cols w:space="720"/>
        </w:sectPr>
      </w:pPr>
    </w:p>
    <w:p w:rsidR="004F109E" w:rsidRDefault="00AF245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5635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F109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F109E" w:rsidRDefault="004F109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F109E" w:rsidRDefault="00AF2457">
            <w:pPr>
              <w:pStyle w:val="TableParagraph"/>
              <w:spacing w:line="193" w:lineRule="exact"/>
              <w:ind w:left="37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Macuxtepetla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F109E" w:rsidRDefault="004F109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F109E" w:rsidRDefault="004F109E">
            <w:pPr>
              <w:pStyle w:val="TableParagraph"/>
              <w:rPr>
                <w:sz w:val="12"/>
              </w:rPr>
            </w:pPr>
          </w:p>
        </w:tc>
      </w:tr>
      <w:tr w:rsidR="004F109E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F109E" w:rsidRDefault="004F109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F109E" w:rsidRDefault="004F109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F109E" w:rsidRDefault="00AF2457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F109E" w:rsidRDefault="00AF2457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HGOHUJ085</w:t>
            </w:r>
          </w:p>
        </w:tc>
      </w:tr>
      <w:tr w:rsidR="004F109E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F109E" w:rsidRDefault="004F109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F109E" w:rsidRDefault="004F109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F109E" w:rsidRDefault="00AF2457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F109E" w:rsidRDefault="00AF2457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130280061</w:t>
            </w:r>
          </w:p>
        </w:tc>
      </w:tr>
      <w:tr w:rsidR="004F109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F109E" w:rsidRDefault="004F109E">
            <w:pPr>
              <w:pStyle w:val="TableParagraph"/>
              <w:spacing w:before="9"/>
              <w:rPr>
                <w:sz w:val="10"/>
              </w:rPr>
            </w:pPr>
          </w:p>
          <w:p w:rsidR="004F109E" w:rsidRDefault="00AF2457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F109E" w:rsidRDefault="004F109E">
            <w:pPr>
              <w:pStyle w:val="TableParagraph"/>
              <w:spacing w:before="9"/>
              <w:rPr>
                <w:sz w:val="10"/>
              </w:rPr>
            </w:pPr>
          </w:p>
          <w:p w:rsidR="004F109E" w:rsidRDefault="00AF2457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F109E" w:rsidRDefault="00AF245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F109E" w:rsidRDefault="004F109E">
            <w:pPr>
              <w:pStyle w:val="TableParagraph"/>
              <w:spacing w:before="9"/>
              <w:rPr>
                <w:sz w:val="10"/>
              </w:rPr>
            </w:pPr>
          </w:p>
          <w:p w:rsidR="004F109E" w:rsidRDefault="00AF2457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4F109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F109E" w:rsidRDefault="00AF2457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F109E" w:rsidRDefault="00AF2457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F109E" w:rsidRDefault="00AF2457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62%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F109E" w:rsidRDefault="00AF245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62.2%</w:t>
            </w:r>
          </w:p>
        </w:tc>
      </w:tr>
      <w:tr w:rsidR="004F10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spacing w:before="11"/>
              <w:rPr>
                <w:sz w:val="20"/>
              </w:rPr>
            </w:pPr>
          </w:p>
          <w:p w:rsidR="004F109E" w:rsidRDefault="00AF245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AF2457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AF245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spacing w:before="2"/>
              <w:rPr>
                <w:sz w:val="11"/>
              </w:rPr>
            </w:pPr>
          </w:p>
          <w:p w:rsidR="004F109E" w:rsidRDefault="00AF245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4F109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F109E" w:rsidRDefault="00AF245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AF245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spacing w:before="2"/>
              <w:rPr>
                <w:sz w:val="11"/>
              </w:rPr>
            </w:pPr>
          </w:p>
          <w:p w:rsidR="004F109E" w:rsidRDefault="00AF245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F109E" w:rsidRDefault="00AF245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109E" w:rsidRDefault="00AF245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109E" w:rsidRDefault="004F109E">
            <w:pPr>
              <w:pStyle w:val="TableParagraph"/>
              <w:rPr>
                <w:sz w:val="17"/>
              </w:rPr>
            </w:pPr>
          </w:p>
          <w:p w:rsidR="004F109E" w:rsidRDefault="00AF245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F109E" w:rsidRDefault="00AF245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AF245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spacing w:before="2"/>
              <w:rPr>
                <w:sz w:val="11"/>
              </w:rPr>
            </w:pPr>
          </w:p>
          <w:p w:rsidR="004F109E" w:rsidRDefault="00AF245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F109E" w:rsidRDefault="00AF245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AF245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spacing w:before="2"/>
              <w:rPr>
                <w:sz w:val="11"/>
              </w:rPr>
            </w:pPr>
          </w:p>
          <w:p w:rsidR="004F109E" w:rsidRDefault="00AF245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F109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109E" w:rsidRDefault="004F109E">
            <w:pPr>
              <w:pStyle w:val="TableParagraph"/>
              <w:spacing w:before="10"/>
              <w:rPr>
                <w:sz w:val="17"/>
              </w:rPr>
            </w:pPr>
          </w:p>
          <w:p w:rsidR="004F109E" w:rsidRDefault="00AF245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spacing w:before="2"/>
              <w:rPr>
                <w:sz w:val="11"/>
              </w:rPr>
            </w:pPr>
          </w:p>
          <w:p w:rsidR="004F109E" w:rsidRDefault="00AF245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shd w:val="clear" w:color="auto" w:fill="92D050"/>
          </w:tcPr>
          <w:p w:rsidR="004F109E" w:rsidRDefault="00AF2457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F109E" w:rsidRDefault="00AF245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F109E" w:rsidRDefault="004F109E">
            <w:pPr>
              <w:pStyle w:val="TableParagraph"/>
              <w:spacing w:before="10"/>
              <w:rPr>
                <w:sz w:val="17"/>
              </w:rPr>
            </w:pPr>
          </w:p>
          <w:p w:rsidR="004F109E" w:rsidRDefault="00AF245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spacing w:before="2"/>
              <w:rPr>
                <w:sz w:val="11"/>
              </w:rPr>
            </w:pPr>
          </w:p>
          <w:p w:rsidR="004F109E" w:rsidRDefault="00AF245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shd w:val="clear" w:color="auto" w:fill="FFFF00"/>
          </w:tcPr>
          <w:p w:rsidR="004F109E" w:rsidRDefault="00AF245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4F109E" w:rsidRDefault="00AF245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F109E">
        <w:trPr>
          <w:trHeight w:val="169"/>
        </w:trPr>
        <w:tc>
          <w:tcPr>
            <w:tcW w:w="2426" w:type="dxa"/>
            <w:shd w:val="clear" w:color="auto" w:fill="FFFF00"/>
          </w:tcPr>
          <w:p w:rsidR="004F109E" w:rsidRDefault="00AF245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4F109E" w:rsidRDefault="00AF245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AF245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spacing w:before="2"/>
              <w:rPr>
                <w:sz w:val="11"/>
              </w:rPr>
            </w:pPr>
          </w:p>
          <w:p w:rsidR="004F109E" w:rsidRDefault="00AF245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4F109E" w:rsidRDefault="00AF245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F109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AF245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F109E" w:rsidRDefault="00AF245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spacing w:before="2"/>
              <w:rPr>
                <w:sz w:val="11"/>
              </w:rPr>
            </w:pPr>
          </w:p>
          <w:p w:rsidR="004F109E" w:rsidRDefault="00AF245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spacing w:before="11"/>
              <w:rPr>
                <w:sz w:val="20"/>
              </w:rPr>
            </w:pPr>
          </w:p>
          <w:p w:rsidR="004F109E" w:rsidRDefault="00AF245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AF2457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F109E" w:rsidRDefault="00AF245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AF245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F109E" w:rsidRDefault="004F109E">
            <w:pPr>
              <w:pStyle w:val="TableParagraph"/>
              <w:rPr>
                <w:sz w:val="14"/>
              </w:rPr>
            </w:pPr>
          </w:p>
          <w:p w:rsidR="004F109E" w:rsidRDefault="004F109E">
            <w:pPr>
              <w:pStyle w:val="TableParagraph"/>
              <w:spacing w:before="2"/>
              <w:rPr>
                <w:sz w:val="11"/>
              </w:rPr>
            </w:pPr>
          </w:p>
          <w:p w:rsidR="004F109E" w:rsidRDefault="00AF245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F109E" w:rsidRDefault="00AF24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F109E" w:rsidRDefault="00AF24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F109E" w:rsidRDefault="004F109E">
            <w:pPr>
              <w:rPr>
                <w:sz w:val="2"/>
                <w:szCs w:val="2"/>
              </w:rPr>
            </w:pPr>
          </w:p>
        </w:tc>
      </w:tr>
      <w:tr w:rsidR="004F109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F109E" w:rsidRDefault="00AF245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F109E" w:rsidRDefault="004F109E">
      <w:pPr>
        <w:spacing w:line="107" w:lineRule="exact"/>
        <w:rPr>
          <w:sz w:val="11"/>
        </w:rPr>
        <w:sectPr w:rsidR="004F109E">
          <w:pgSz w:w="11910" w:h="16840"/>
          <w:pgMar w:top="1600" w:right="0" w:bottom="280" w:left="1680" w:header="720" w:footer="720" w:gutter="0"/>
          <w:cols w:space="720"/>
        </w:sect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10"/>
        </w:rPr>
      </w:pPr>
    </w:p>
    <w:p w:rsidR="004F109E" w:rsidRDefault="004F109E">
      <w:pPr>
        <w:pStyle w:val="Textoindependiente"/>
        <w:spacing w:before="3"/>
        <w:rPr>
          <w:sz w:val="9"/>
        </w:rPr>
      </w:pPr>
    </w:p>
    <w:p w:rsidR="004F109E" w:rsidRDefault="00AF2457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5408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752;width:5144;height:5383" coordorigin="3533,-2752" coordsize="5144,5383" o:spt="100" adj="0,,0" path="m3966,-1979r-433,612l5305,-239r675,140l6355,2630,6528,1164r1871,l8575,824,8178,51r499,-711l8458,-1276r-3194,l3966,-1979xm8399,1164r-1871,l7718,2038r512,-548l8399,1164xm6723,-2752r-743,939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533;top:-2752;width:5144;height:5383" coordorigin="3533,-2752" coordsize="5144,5383" path="m5980,-1813r743,-939l6981,-1747r1012,-232l8426,-1367r251,707l8178,51r397,773l8230,1490r-512,548l6528,1164,6355,2630,5980,-99,5431,1164,5980,-99,4033,593,5980,-99,5305,-239,3533,-1367r433,-612l5264,-1276r716,-53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5910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4F109E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4F109E" w:rsidRDefault="00AF2457">
                        <w:pPr>
                          <w:pStyle w:val="TableParagraph"/>
                          <w:spacing w:line="193" w:lineRule="exact"/>
                          <w:ind w:left="281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Macuxtepetla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F109E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4F109E" w:rsidRDefault="004F109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F109E" w:rsidRDefault="004F109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HGOHUJ085</w:t>
                        </w:r>
                      </w:p>
                    </w:tc>
                  </w:tr>
                  <w:tr w:rsidR="004F109E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4F109E" w:rsidRDefault="00AF2457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F109E" w:rsidRDefault="00AF2457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F109E" w:rsidRDefault="004F109E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F109E" w:rsidRDefault="004F10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F109E" w:rsidRDefault="004F10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F109E" w:rsidRDefault="004F109E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F109E" w:rsidRDefault="004F10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F109E" w:rsidRDefault="004F109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F109E" w:rsidRDefault="00AF2457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F109E" w:rsidRDefault="00AF2457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F109E" w:rsidRDefault="00AF2457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F109E" w:rsidRDefault="00AF2457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130280061</w:t>
                        </w: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F109E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109E" w:rsidRDefault="004F109E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F109E" w:rsidRDefault="00AF2457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F109E" w:rsidRDefault="004F109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F109E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4F109E" w:rsidRDefault="00AF2457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F109E" w:rsidRDefault="004F109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4F109E">
      <w:pPr>
        <w:pStyle w:val="Textoindependiente"/>
        <w:rPr>
          <w:sz w:val="20"/>
        </w:rPr>
      </w:pPr>
    </w:p>
    <w:p w:rsidR="004F109E" w:rsidRDefault="00AF2457">
      <w:pPr>
        <w:pStyle w:val="Textoindependiente"/>
        <w:spacing w:before="7"/>
        <w:rPr>
          <w:sz w:val="21"/>
        </w:rPr>
      </w:pPr>
      <w:r>
        <w:pict>
          <v:line id="_x0000_s1026" style="position:absolute;z-index:-251652096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4F109E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109E"/>
    <w:rsid w:val="004F109E"/>
    <w:rsid w:val="00A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3CB2486"/>
  <w15:docId w15:val="{39C09758-EB30-40C7-B1B7-648E31A2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18"/>
      <w:ind w:left="3518" w:right="4815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401" w:right="1696"/>
      <w:jc w:val="both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1331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2019-05-28T23:29:00Z</dcterms:created>
  <dcterms:modified xsi:type="dcterms:W3CDTF">2019-05-29T03:52:00Z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