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
        <w:rPr>
          <w:sz w:val="28"/>
        </w:rPr>
      </w:pPr>
    </w:p>
    <w:p>
      <w:pPr>
        <w:spacing w:line="490" w:lineRule="exact" w:before="82"/>
        <w:ind w:left="2171" w:right="0" w:firstLine="0"/>
        <w:jc w:val="left"/>
        <w:rPr>
          <w:b/>
          <w:sz w:val="44"/>
        </w:rPr>
      </w:pPr>
      <w:r>
        <w:rPr>
          <w:b/>
          <w:color w:val="231F20"/>
          <w:sz w:val="44"/>
        </w:rPr>
        <w:t>La Cumbre de la Campana</w:t>
      </w:r>
    </w:p>
    <w:p>
      <w:pPr>
        <w:spacing w:line="260" w:lineRule="exact" w:before="0"/>
        <w:ind w:left="3717" w:right="5015"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1416261</wp:posOffset>
            </wp:positionV>
            <wp:extent cx="5987025" cy="443884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87025" cy="4438840"/>
                    </a:xfrm>
                    <a:prstGeom prst="rect">
                      <a:avLst/>
                    </a:prstGeom>
                  </pic:spPr>
                </pic:pic>
              </a:graphicData>
            </a:graphic>
          </wp:anchor>
        </w:drawing>
      </w:r>
      <w:r>
        <w:rPr/>
        <w:pict>
          <v:shape style="position:absolute;margin-left:150.790787pt;margin-top:207.708374pt;width:309.9pt;height:111.6pt;mso-position-horizontal-relative:page;mso-position-vertical-relative:paragraph;z-index:251659264;rotation:315" type="#_x0000_t136" fillcolor="#000000" stroked="f">
            <o:extrusion v:ext="view" autorotationcenter="t"/>
            <v:textpath style="font-family:&amp;quot;Times New Roman&amp;quot;;font-size:111pt;v-text-kern:t;mso-text-shadow:auto" string="UAEH"/>
            <v:fill opacity="19532f"/>
            <w10:wrap type="none"/>
          </v:shape>
        </w:pict>
      </w:r>
      <w:r>
        <w:rPr>
          <w:color w:val="231F20"/>
          <w:sz w:val="24"/>
        </w:rPr>
        <w:t>CCIEH: HGOSBT019</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0"/>
        </w:rPr>
      </w:pPr>
    </w:p>
    <w:p>
      <w:pPr>
        <w:spacing w:before="0"/>
        <w:ind w:left="5663" w:right="0" w:firstLine="0"/>
        <w:jc w:val="left"/>
        <w:rPr>
          <w:sz w:val="24"/>
        </w:rPr>
      </w:pPr>
      <w:r>
        <w:rPr>
          <w:color w:val="231F20"/>
          <w:sz w:val="24"/>
        </w:rPr>
        <w:t>La Cumbre de la Campana: 130530144</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7" w:right="5014" w:firstLine="0"/>
        <w:jc w:val="center"/>
        <w:rPr>
          <w:b/>
          <w:sz w:val="32"/>
        </w:rPr>
      </w:pPr>
      <w:r>
        <w:rPr>
          <w:b/>
          <w:sz w:val="32"/>
        </w:rPr>
        <w:t>DICTAMEN</w:t>
      </w:r>
    </w:p>
    <w:p>
      <w:pPr>
        <w:pStyle w:val="BodyText"/>
        <w:spacing w:before="5"/>
        <w:rPr>
          <w:b/>
          <w:sz w:val="41"/>
        </w:rPr>
      </w:pPr>
    </w:p>
    <w:p>
      <w:pPr>
        <w:pStyle w:val="Heading1"/>
        <w:ind w:right="1697"/>
        <w:jc w:val="both"/>
      </w:pPr>
      <w:r>
        <w:rPr/>
        <w:pict>
          <v:shape style="position:absolute;margin-left:150.790787pt;margin-top:118.854523pt;width:309.9pt;height:111.6pt;mso-position-horizontal-relative:page;mso-position-vertical-relative:paragraph;z-index:-25306009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La Cumbre de la Campana</w:t>
      </w:r>
      <w:r>
        <w:rPr>
          <w:b/>
          <w:sz w:val="28"/>
        </w:rPr>
        <w:t>, </w:t>
      </w:r>
      <w:r>
        <w:rPr/>
        <w:t>del Municipio de San Bartolo Tutotepec, con clave INEGI </w:t>
      </w:r>
      <w:r>
        <w:rPr>
          <w:b/>
        </w:rPr>
        <w:t>130530144</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HGOSBT019</w:t>
      </w:r>
      <w:r>
        <w:rPr/>
        <w:t>.</w:t>
      </w:r>
    </w:p>
    <w:p>
      <w:pPr>
        <w:pStyle w:val="BodyText"/>
        <w:spacing w:before="1"/>
        <w:rPr>
          <w:sz w:val="24"/>
        </w:rPr>
      </w:pPr>
    </w:p>
    <w:p>
      <w:pPr>
        <w:pStyle w:val="BodyText"/>
        <w:ind w:left="401" w:right="1697"/>
        <w:jc w:val="both"/>
      </w:pPr>
      <w:r>
        <w:rPr>
          <w:b/>
        </w:rPr>
        <w:t>La Cumbre de la Campana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 Delegados.</w:t>
      </w:r>
    </w:p>
    <w:p>
      <w:pPr>
        <w:pStyle w:val="BodyText"/>
      </w:pPr>
    </w:p>
    <w:p>
      <w:pPr>
        <w:pStyle w:val="BodyText"/>
        <w:ind w:left="401" w:right="1696"/>
        <w:jc w:val="both"/>
      </w:pPr>
      <w:r>
        <w:rPr/>
        <w:t>Si bien esta comunidad tiene un significativo 80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spacing w:before="1"/>
        <w:rPr>
          <w:sz w:val="20"/>
        </w:rPr>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05907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5"/>
        <w:gridCol w:w="1419"/>
      </w:tblGrid>
      <w:tr>
        <w:trPr>
          <w:trHeight w:val="810" w:hRule="atLeast"/>
        </w:trPr>
        <w:tc>
          <w:tcPr>
            <w:tcW w:w="8024" w:type="dxa"/>
            <w:gridSpan w:val="3"/>
          </w:tcPr>
          <w:p>
            <w:pPr>
              <w:pStyle w:val="TableParagraph"/>
              <w:spacing w:line="206" w:lineRule="exact"/>
              <w:ind w:left="1985" w:right="1882"/>
              <w:jc w:val="center"/>
              <w:rPr>
                <w:b/>
                <w:sz w:val="18"/>
              </w:rPr>
            </w:pPr>
            <w:r>
              <w:rPr>
                <w:b/>
                <w:w w:val="105"/>
                <w:sz w:val="18"/>
              </w:rPr>
              <w:t>La Cumbre de la Campana, San Bartolo Tutotepec</w:t>
            </w:r>
          </w:p>
        </w:tc>
      </w:tr>
      <w:tr>
        <w:trPr>
          <w:trHeight w:val="790" w:hRule="atLeast"/>
        </w:trPr>
        <w:tc>
          <w:tcPr>
            <w:tcW w:w="4930" w:type="dxa"/>
          </w:tcPr>
          <w:p>
            <w:pPr>
              <w:pStyle w:val="TableParagraph"/>
              <w:rPr>
                <w:sz w:val="16"/>
              </w:rPr>
            </w:pPr>
          </w:p>
        </w:tc>
        <w:tc>
          <w:tcPr>
            <w:tcW w:w="1675"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4"/>
              <w:jc w:val="right"/>
              <w:rPr>
                <w:sz w:val="16"/>
              </w:rPr>
            </w:pPr>
            <w:r>
              <w:rPr>
                <w:sz w:val="16"/>
              </w:rPr>
              <w:t>Resumen</w:t>
            </w:r>
          </w:p>
        </w:tc>
      </w:tr>
      <w:tr>
        <w:trPr>
          <w:trHeight w:val="201" w:hRule="atLeast"/>
        </w:trPr>
        <w:tc>
          <w:tcPr>
            <w:tcW w:w="4930" w:type="dxa"/>
          </w:tcPr>
          <w:p>
            <w:pPr>
              <w:pStyle w:val="TableParagraph"/>
              <w:rPr>
                <w:sz w:val="14"/>
              </w:rPr>
            </w:pPr>
          </w:p>
        </w:tc>
        <w:tc>
          <w:tcPr>
            <w:tcW w:w="1675" w:type="dxa"/>
          </w:tcPr>
          <w:p>
            <w:pPr>
              <w:pStyle w:val="TableParagraph"/>
              <w:spacing w:line="174" w:lineRule="exact" w:before="8"/>
              <w:ind w:right="215"/>
              <w:jc w:val="right"/>
              <w:rPr>
                <w:sz w:val="16"/>
              </w:rPr>
            </w:pPr>
            <w:r>
              <w:rPr>
                <w:sz w:val="16"/>
              </w:rPr>
              <w:t>Clave CCIEH</w:t>
            </w:r>
          </w:p>
        </w:tc>
        <w:tc>
          <w:tcPr>
            <w:tcW w:w="1419" w:type="dxa"/>
          </w:tcPr>
          <w:p>
            <w:pPr>
              <w:pStyle w:val="TableParagraph"/>
              <w:spacing w:line="179" w:lineRule="exact" w:before="3"/>
              <w:ind w:right="35"/>
              <w:jc w:val="right"/>
              <w:rPr>
                <w:sz w:val="16"/>
              </w:rPr>
            </w:pPr>
            <w:r>
              <w:rPr>
                <w:sz w:val="16"/>
              </w:rPr>
              <w:t>HGOSBT019</w:t>
            </w:r>
          </w:p>
        </w:tc>
      </w:tr>
      <w:tr>
        <w:trPr>
          <w:trHeight w:val="392" w:hRule="atLeast"/>
        </w:trPr>
        <w:tc>
          <w:tcPr>
            <w:tcW w:w="4930" w:type="dxa"/>
          </w:tcPr>
          <w:p>
            <w:pPr>
              <w:pStyle w:val="TableParagraph"/>
              <w:rPr>
                <w:sz w:val="16"/>
              </w:rPr>
            </w:pPr>
          </w:p>
        </w:tc>
        <w:tc>
          <w:tcPr>
            <w:tcW w:w="1675" w:type="dxa"/>
          </w:tcPr>
          <w:p>
            <w:pPr>
              <w:pStyle w:val="TableParagraph"/>
              <w:spacing w:before="3"/>
              <w:ind w:right="210"/>
              <w:jc w:val="right"/>
              <w:rPr>
                <w:sz w:val="16"/>
              </w:rPr>
            </w:pPr>
            <w:r>
              <w:rPr>
                <w:sz w:val="16"/>
              </w:rPr>
              <w:t>Clave INEGI</w:t>
            </w:r>
          </w:p>
        </w:tc>
        <w:tc>
          <w:tcPr>
            <w:tcW w:w="1419" w:type="dxa"/>
          </w:tcPr>
          <w:p>
            <w:pPr>
              <w:pStyle w:val="TableParagraph"/>
              <w:spacing w:before="3"/>
              <w:ind w:right="33"/>
              <w:jc w:val="right"/>
              <w:rPr>
                <w:sz w:val="16"/>
              </w:rPr>
            </w:pPr>
            <w:r>
              <w:rPr>
                <w:sz w:val="16"/>
              </w:rPr>
              <w:t>130530144</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5"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2"/>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5"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5" w:type="dxa"/>
            <w:shd w:val="clear" w:color="auto" w:fill="92D050"/>
          </w:tcPr>
          <w:p>
            <w:pPr>
              <w:pStyle w:val="TableParagraph"/>
              <w:spacing w:line="174" w:lineRule="exact" w:before="4"/>
              <w:ind w:right="216"/>
              <w:jc w:val="right"/>
              <w:rPr>
                <w:sz w:val="16"/>
              </w:rPr>
            </w:pPr>
            <w:r>
              <w:rPr>
                <w:sz w:val="16"/>
              </w:rPr>
              <w:t>6.5%</w:t>
            </w:r>
          </w:p>
        </w:tc>
        <w:tc>
          <w:tcPr>
            <w:tcW w:w="1419" w:type="dxa"/>
            <w:shd w:val="clear" w:color="auto" w:fill="92D050"/>
          </w:tcPr>
          <w:p>
            <w:pPr>
              <w:pStyle w:val="TableParagraph"/>
              <w:spacing w:line="178" w:lineRule="exact"/>
              <w:ind w:right="34"/>
              <w:jc w:val="right"/>
              <w:rPr>
                <w:sz w:val="16"/>
              </w:rPr>
            </w:pPr>
            <w:r>
              <w:rPr>
                <w:sz w:val="16"/>
              </w:rPr>
              <w:t>84.0%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5" w:type="dxa"/>
            <w:shd w:val="clear" w:color="auto" w:fill="92D050"/>
          </w:tcPr>
          <w:p>
            <w:pPr>
              <w:pStyle w:val="TableParagraph"/>
              <w:spacing w:line="174" w:lineRule="exact" w:before="3"/>
              <w:ind w:right="216"/>
              <w:jc w:val="right"/>
              <w:rPr>
                <w:sz w:val="16"/>
              </w:rPr>
            </w:pPr>
            <w:r>
              <w:rPr>
                <w:sz w:val="16"/>
              </w:rPr>
              <w:t>30.0%</w:t>
            </w:r>
          </w:p>
        </w:tc>
        <w:tc>
          <w:tcPr>
            <w:tcW w:w="1419" w:type="dxa"/>
            <w:shd w:val="clear" w:color="auto" w:fill="92D050"/>
          </w:tcPr>
          <w:p>
            <w:pPr>
              <w:pStyle w:val="TableParagraph"/>
              <w:spacing w:line="174" w:lineRule="exact" w:before="3"/>
              <w:ind w:right="34"/>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5" w:type="dxa"/>
            <w:shd w:val="clear" w:color="auto" w:fill="92D050"/>
          </w:tcPr>
          <w:p>
            <w:pPr>
              <w:pStyle w:val="TableParagraph"/>
              <w:spacing w:line="174" w:lineRule="exact" w:before="3"/>
              <w:ind w:right="216"/>
              <w:jc w:val="right"/>
              <w:rPr>
                <w:sz w:val="16"/>
              </w:rPr>
            </w:pPr>
            <w:r>
              <w:rPr>
                <w:sz w:val="16"/>
              </w:rPr>
              <w:t>10.0%</w:t>
            </w:r>
          </w:p>
        </w:tc>
        <w:tc>
          <w:tcPr>
            <w:tcW w:w="1419" w:type="dxa"/>
            <w:shd w:val="clear" w:color="auto" w:fill="92D050"/>
          </w:tcPr>
          <w:p>
            <w:pPr>
              <w:pStyle w:val="TableParagraph"/>
              <w:spacing w:line="174" w:lineRule="exact" w:before="3"/>
              <w:ind w:right="34"/>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5" w:type="dxa"/>
            <w:shd w:val="clear" w:color="auto" w:fill="92D050"/>
          </w:tcPr>
          <w:p>
            <w:pPr>
              <w:pStyle w:val="TableParagraph"/>
              <w:spacing w:line="174" w:lineRule="exact" w:before="3"/>
              <w:ind w:right="216"/>
              <w:jc w:val="right"/>
              <w:rPr>
                <w:sz w:val="16"/>
              </w:rPr>
            </w:pPr>
            <w:r>
              <w:rPr>
                <w:sz w:val="16"/>
              </w:rPr>
              <w:t>20.0%</w:t>
            </w:r>
          </w:p>
        </w:tc>
        <w:tc>
          <w:tcPr>
            <w:tcW w:w="1419" w:type="dxa"/>
            <w:shd w:val="clear" w:color="auto" w:fill="92D050"/>
          </w:tcPr>
          <w:p>
            <w:pPr>
              <w:pStyle w:val="TableParagraph"/>
              <w:spacing w:line="174" w:lineRule="exact" w:before="3"/>
              <w:ind w:right="34"/>
              <w:jc w:val="right"/>
              <w:rPr>
                <w:sz w:val="16"/>
              </w:rPr>
            </w:pPr>
            <w:r>
              <w:rPr>
                <w:sz w:val="16"/>
              </w:rPr>
              <w:t>80.0%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5" w:type="dxa"/>
            <w:shd w:val="clear" w:color="auto" w:fill="92D050"/>
          </w:tcPr>
          <w:p>
            <w:pPr>
              <w:pStyle w:val="TableParagraph"/>
              <w:spacing w:line="173" w:lineRule="exact" w:before="3"/>
              <w:ind w:right="217"/>
              <w:jc w:val="right"/>
              <w:rPr>
                <w:sz w:val="16"/>
              </w:rPr>
            </w:pPr>
            <w:r>
              <w:rPr>
                <w:sz w:val="16"/>
              </w:rPr>
              <w:t>100.0%</w:t>
            </w:r>
          </w:p>
        </w:tc>
        <w:tc>
          <w:tcPr>
            <w:tcW w:w="1419" w:type="dxa"/>
            <w:shd w:val="clear" w:color="auto" w:fill="92D050"/>
          </w:tcPr>
          <w:p>
            <w:pPr>
              <w:pStyle w:val="TableParagraph"/>
              <w:spacing w:line="173" w:lineRule="exact" w:before="3"/>
              <w:ind w:right="34"/>
              <w:jc w:val="right"/>
              <w:rPr>
                <w:sz w:val="16"/>
              </w:rPr>
            </w:pPr>
            <w:r>
              <w:rPr>
                <w:sz w:val="16"/>
              </w:rPr>
              <w:t>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5" w:type="dxa"/>
            <w:shd w:val="clear" w:color="auto" w:fill="FFFF00"/>
          </w:tcPr>
          <w:p>
            <w:pPr>
              <w:pStyle w:val="TableParagraph"/>
              <w:spacing w:line="174" w:lineRule="exact" w:before="4"/>
              <w:ind w:right="216"/>
              <w:jc w:val="right"/>
              <w:rPr>
                <w:sz w:val="16"/>
              </w:rPr>
            </w:pPr>
            <w:r>
              <w:rPr>
                <w:sz w:val="16"/>
              </w:rPr>
              <w:t>25.0%</w:t>
            </w:r>
          </w:p>
        </w:tc>
        <w:tc>
          <w:tcPr>
            <w:tcW w:w="1419" w:type="dxa"/>
            <w:shd w:val="clear" w:color="auto" w:fill="FFFF00"/>
          </w:tcPr>
          <w:p>
            <w:pPr>
              <w:pStyle w:val="TableParagraph"/>
              <w:spacing w:line="174" w:lineRule="exact" w:before="4"/>
              <w:ind w:right="34"/>
              <w:jc w:val="right"/>
              <w:rPr>
                <w:sz w:val="16"/>
              </w:rPr>
            </w:pPr>
            <w:r>
              <w:rPr>
                <w:sz w:val="16"/>
              </w:rPr>
              <w:t>75.0%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5" w:type="dxa"/>
            <w:shd w:val="clear" w:color="auto" w:fill="FFFF00"/>
          </w:tcPr>
          <w:p>
            <w:pPr>
              <w:pStyle w:val="TableParagraph"/>
              <w:spacing w:line="174" w:lineRule="exact" w:before="3"/>
              <w:ind w:right="217"/>
              <w:jc w:val="right"/>
              <w:rPr>
                <w:sz w:val="16"/>
              </w:rPr>
            </w:pPr>
            <w:r>
              <w:rPr>
                <w:sz w:val="16"/>
              </w:rPr>
              <w:t>100.0%</w:t>
            </w:r>
          </w:p>
        </w:tc>
        <w:tc>
          <w:tcPr>
            <w:tcW w:w="1419" w:type="dxa"/>
            <w:shd w:val="clear" w:color="auto" w:fill="FFFF0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5" w:type="dxa"/>
            <w:shd w:val="clear" w:color="auto" w:fill="FFFF00"/>
          </w:tcPr>
          <w:p>
            <w:pPr>
              <w:pStyle w:val="TableParagraph"/>
              <w:spacing w:line="174" w:lineRule="exact" w:before="3"/>
              <w:ind w:right="217"/>
              <w:jc w:val="right"/>
              <w:rPr>
                <w:sz w:val="16"/>
              </w:rPr>
            </w:pPr>
            <w:r>
              <w:rPr>
                <w:sz w:val="16"/>
              </w:rPr>
              <w:t>100.0%</w:t>
            </w:r>
          </w:p>
        </w:tc>
        <w:tc>
          <w:tcPr>
            <w:tcW w:w="1419" w:type="dxa"/>
            <w:shd w:val="clear" w:color="auto" w:fill="FFFF00"/>
          </w:tcPr>
          <w:p>
            <w:pPr>
              <w:pStyle w:val="TableParagraph"/>
              <w:spacing w:line="174" w:lineRule="exact" w:before="3"/>
              <w:ind w:right="34"/>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5" w:type="dxa"/>
            <w:shd w:val="clear" w:color="auto" w:fill="FFFF00"/>
          </w:tcPr>
          <w:p>
            <w:pPr>
              <w:pStyle w:val="TableParagraph"/>
              <w:spacing w:line="173" w:lineRule="exact" w:before="3"/>
              <w:ind w:right="216"/>
              <w:jc w:val="right"/>
              <w:rPr>
                <w:sz w:val="16"/>
              </w:rPr>
            </w:pPr>
            <w:r>
              <w:rPr>
                <w:sz w:val="16"/>
              </w:rPr>
              <w:t>25.0%</w:t>
            </w:r>
          </w:p>
        </w:tc>
        <w:tc>
          <w:tcPr>
            <w:tcW w:w="1419" w:type="dxa"/>
            <w:shd w:val="clear" w:color="auto" w:fill="FFFF00"/>
          </w:tcPr>
          <w:p>
            <w:pPr>
              <w:pStyle w:val="TableParagraph"/>
              <w:spacing w:line="173" w:lineRule="exact" w:before="3"/>
              <w:ind w:right="34"/>
              <w:jc w:val="right"/>
              <w:rPr>
                <w:sz w:val="16"/>
              </w:rPr>
            </w:pPr>
            <w:r>
              <w:rPr>
                <w:sz w:val="16"/>
              </w:rPr>
              <w:t>75.0%</w:t>
            </w:r>
          </w:p>
        </w:tc>
      </w:tr>
      <w:tr>
        <w:trPr>
          <w:trHeight w:val="197" w:hRule="atLeast"/>
        </w:trPr>
        <w:tc>
          <w:tcPr>
            <w:tcW w:w="4930" w:type="dxa"/>
            <w:shd w:val="clear" w:color="auto" w:fill="F9BE8F"/>
          </w:tcPr>
          <w:p>
            <w:pPr>
              <w:pStyle w:val="TableParagraph"/>
              <w:spacing w:line="174" w:lineRule="exact" w:before="4"/>
              <w:ind w:left="31"/>
              <w:rPr>
                <w:sz w:val="16"/>
              </w:rPr>
            </w:pPr>
            <w:r>
              <w:rPr>
                <w:sz w:val="16"/>
              </w:rPr>
              <w:t>18- Vestimenta tradicional</w:t>
            </w:r>
          </w:p>
        </w:tc>
        <w:tc>
          <w:tcPr>
            <w:tcW w:w="1675" w:type="dxa"/>
            <w:shd w:val="clear" w:color="auto" w:fill="F9BE8F"/>
          </w:tcPr>
          <w:p>
            <w:pPr>
              <w:pStyle w:val="TableParagraph"/>
              <w:spacing w:line="174" w:lineRule="exact" w:before="4"/>
              <w:ind w:right="217"/>
              <w:jc w:val="right"/>
              <w:rPr>
                <w:sz w:val="16"/>
              </w:rPr>
            </w:pPr>
            <w:r>
              <w:rPr>
                <w:sz w:val="16"/>
              </w:rPr>
              <w:t>100.0%</w:t>
            </w:r>
          </w:p>
        </w:tc>
        <w:tc>
          <w:tcPr>
            <w:tcW w:w="1419" w:type="dxa"/>
            <w:shd w:val="clear" w:color="auto" w:fill="F9BE8F"/>
          </w:tcPr>
          <w:p>
            <w:pPr>
              <w:pStyle w:val="TableParagraph"/>
              <w:spacing w:line="174" w:lineRule="exact" w:before="4"/>
              <w:ind w:right="34"/>
              <w:jc w:val="right"/>
              <w:rPr>
                <w:sz w:val="16"/>
              </w:rPr>
            </w:pPr>
            <w:r>
              <w:rPr>
                <w:sz w:val="16"/>
              </w:rPr>
              <w:t>100.0%</w:t>
            </w:r>
          </w:p>
        </w:tc>
      </w:tr>
      <w:tr>
        <w:trPr>
          <w:trHeight w:val="196" w:hRule="atLeast"/>
        </w:trPr>
        <w:tc>
          <w:tcPr>
            <w:tcW w:w="4930" w:type="dxa"/>
            <w:shd w:val="clear" w:color="auto" w:fill="F9BE8F"/>
          </w:tcPr>
          <w:p>
            <w:pPr>
              <w:pStyle w:val="TableParagraph"/>
              <w:spacing w:line="174" w:lineRule="exact" w:before="3"/>
              <w:ind w:left="31"/>
              <w:rPr>
                <w:sz w:val="16"/>
              </w:rPr>
            </w:pPr>
            <w:r>
              <w:rPr>
                <w:sz w:val="16"/>
              </w:rPr>
              <w:t>19- Artesanías</w:t>
            </w:r>
          </w:p>
        </w:tc>
        <w:tc>
          <w:tcPr>
            <w:tcW w:w="1675" w:type="dxa"/>
            <w:shd w:val="clear" w:color="auto" w:fill="F9BE8F"/>
          </w:tcPr>
          <w:p>
            <w:pPr>
              <w:pStyle w:val="TableParagraph"/>
              <w:spacing w:line="174" w:lineRule="exact" w:before="3"/>
              <w:ind w:right="216"/>
              <w:jc w:val="right"/>
              <w:rPr>
                <w:sz w:val="16"/>
              </w:rPr>
            </w:pPr>
            <w:r>
              <w:rPr>
                <w:sz w:val="16"/>
              </w:rPr>
              <w:t>25.0%</w:t>
            </w:r>
          </w:p>
        </w:tc>
        <w:tc>
          <w:tcPr>
            <w:tcW w:w="1419" w:type="dxa"/>
            <w:shd w:val="clear" w:color="auto" w:fill="F9BE8F"/>
          </w:tcPr>
          <w:p>
            <w:pPr>
              <w:pStyle w:val="TableParagraph"/>
              <w:spacing w:line="174" w:lineRule="exact" w:before="3"/>
              <w:ind w:right="34"/>
              <w:jc w:val="right"/>
              <w:rPr>
                <w:sz w:val="16"/>
              </w:rPr>
            </w:pPr>
            <w:r>
              <w:rPr>
                <w:sz w:val="16"/>
              </w:rPr>
              <w:t>25.0%</w:t>
            </w:r>
          </w:p>
        </w:tc>
      </w:tr>
      <w:tr>
        <w:trPr>
          <w:trHeight w:val="196" w:hRule="atLeast"/>
        </w:trPr>
        <w:tc>
          <w:tcPr>
            <w:tcW w:w="4930" w:type="dxa"/>
            <w:shd w:val="clear" w:color="auto" w:fill="F9BE8F"/>
          </w:tcPr>
          <w:p>
            <w:pPr>
              <w:pStyle w:val="TableParagraph"/>
              <w:spacing w:line="174" w:lineRule="exact" w:before="3"/>
              <w:ind w:left="31"/>
              <w:rPr>
                <w:sz w:val="16"/>
              </w:rPr>
            </w:pPr>
            <w:r>
              <w:rPr>
                <w:sz w:val="16"/>
              </w:rPr>
              <w:t>20- Origen</w:t>
            </w:r>
          </w:p>
        </w:tc>
        <w:tc>
          <w:tcPr>
            <w:tcW w:w="1675" w:type="dxa"/>
            <w:shd w:val="clear" w:color="auto" w:fill="F9BE8F"/>
          </w:tcPr>
          <w:p>
            <w:pPr>
              <w:pStyle w:val="TableParagraph"/>
              <w:spacing w:line="174" w:lineRule="exact" w:before="3"/>
              <w:ind w:right="216"/>
              <w:jc w:val="right"/>
              <w:rPr>
                <w:sz w:val="16"/>
              </w:rPr>
            </w:pPr>
            <w:r>
              <w:rPr>
                <w:sz w:val="16"/>
              </w:rPr>
              <w:t>10.0%</w:t>
            </w:r>
          </w:p>
        </w:tc>
        <w:tc>
          <w:tcPr>
            <w:tcW w:w="1419" w:type="dxa"/>
            <w:shd w:val="clear" w:color="auto" w:fill="F9BE8F"/>
          </w:tcPr>
          <w:p>
            <w:pPr>
              <w:pStyle w:val="TableParagraph"/>
              <w:spacing w:line="174" w:lineRule="exact" w:before="3"/>
              <w:ind w:right="34"/>
              <w:jc w:val="right"/>
              <w:rPr>
                <w:sz w:val="16"/>
              </w:rPr>
            </w:pPr>
            <w:r>
              <w:rPr>
                <w:sz w:val="16"/>
              </w:rPr>
              <w:t>90.0%</w:t>
            </w:r>
          </w:p>
        </w:tc>
      </w:tr>
      <w:tr>
        <w:trPr>
          <w:trHeight w:val="195" w:hRule="atLeast"/>
        </w:trPr>
        <w:tc>
          <w:tcPr>
            <w:tcW w:w="4930" w:type="dxa"/>
            <w:shd w:val="clear" w:color="auto" w:fill="F9BE8F"/>
          </w:tcPr>
          <w:p>
            <w:pPr>
              <w:pStyle w:val="TableParagraph"/>
              <w:spacing w:line="173" w:lineRule="exact" w:before="3"/>
              <w:ind w:left="31"/>
              <w:rPr>
                <w:sz w:val="16"/>
              </w:rPr>
            </w:pPr>
            <w:r>
              <w:rPr>
                <w:sz w:val="16"/>
              </w:rPr>
              <w:t>21- Reglamentos y/o acuerdos</w:t>
            </w:r>
          </w:p>
        </w:tc>
        <w:tc>
          <w:tcPr>
            <w:tcW w:w="1675" w:type="dxa"/>
            <w:shd w:val="clear" w:color="auto" w:fill="F9BE8F"/>
          </w:tcPr>
          <w:p>
            <w:pPr>
              <w:pStyle w:val="TableParagraph"/>
              <w:spacing w:line="173" w:lineRule="exact" w:before="3"/>
              <w:ind w:right="217"/>
              <w:jc w:val="right"/>
              <w:rPr>
                <w:sz w:val="16"/>
              </w:rPr>
            </w:pPr>
            <w:r>
              <w:rPr>
                <w:sz w:val="16"/>
              </w:rPr>
              <w:t>100.0%</w:t>
            </w:r>
          </w:p>
        </w:tc>
        <w:tc>
          <w:tcPr>
            <w:tcW w:w="1419" w:type="dxa"/>
            <w:shd w:val="clear" w:color="auto" w:fill="F9BE8F"/>
          </w:tcPr>
          <w:p>
            <w:pPr>
              <w:pStyle w:val="TableParagraph"/>
              <w:spacing w:line="173" w:lineRule="exact" w:before="3"/>
              <w:ind w:right="34"/>
              <w:jc w:val="right"/>
              <w:rPr>
                <w:sz w:val="16"/>
              </w:rPr>
            </w:pPr>
            <w:r>
              <w:rPr>
                <w:sz w:val="16"/>
              </w:rPr>
              <w:t>0.0%</w:t>
            </w:r>
          </w:p>
        </w:tc>
      </w:tr>
      <w:tr>
        <w:trPr>
          <w:trHeight w:val="199" w:hRule="atLeast"/>
        </w:trPr>
        <w:tc>
          <w:tcPr>
            <w:tcW w:w="4930" w:type="dxa"/>
            <w:shd w:val="clear" w:color="auto" w:fill="DCE6F0"/>
          </w:tcPr>
          <w:p>
            <w:pPr>
              <w:pStyle w:val="TableParagraph"/>
              <w:spacing w:line="175" w:lineRule="exact" w:before="4"/>
              <w:ind w:left="31"/>
              <w:rPr>
                <w:sz w:val="16"/>
              </w:rPr>
            </w:pPr>
            <w:r>
              <w:rPr>
                <w:sz w:val="16"/>
              </w:rPr>
              <w:t>22- Patrimonio comunitario</w:t>
            </w:r>
          </w:p>
        </w:tc>
        <w:tc>
          <w:tcPr>
            <w:tcW w:w="1675" w:type="dxa"/>
            <w:shd w:val="clear" w:color="auto" w:fill="DCE6F0"/>
          </w:tcPr>
          <w:p>
            <w:pPr>
              <w:pStyle w:val="TableParagraph"/>
              <w:spacing w:line="175" w:lineRule="exact" w:before="4"/>
              <w:ind w:right="216"/>
              <w:jc w:val="right"/>
              <w:rPr>
                <w:sz w:val="16"/>
              </w:rPr>
            </w:pPr>
            <w:r>
              <w:rPr>
                <w:sz w:val="16"/>
              </w:rPr>
              <w:t>25.0%</w:t>
            </w:r>
          </w:p>
        </w:tc>
        <w:tc>
          <w:tcPr>
            <w:tcW w:w="1419" w:type="dxa"/>
            <w:shd w:val="clear" w:color="auto" w:fill="DCE6F0"/>
          </w:tcPr>
          <w:p>
            <w:pPr>
              <w:pStyle w:val="TableParagraph"/>
              <w:spacing w:line="175" w:lineRule="exact" w:before="4"/>
              <w:ind w:right="34"/>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5" w:type="dxa"/>
          </w:tcPr>
          <w:p>
            <w:pPr>
              <w:pStyle w:val="TableParagraph"/>
              <w:rPr>
                <w:sz w:val="16"/>
              </w:rPr>
            </w:pPr>
          </w:p>
        </w:tc>
        <w:tc>
          <w:tcPr>
            <w:tcW w:w="1419" w:type="dxa"/>
          </w:tcPr>
          <w:p>
            <w:pPr>
              <w:pStyle w:val="TableParagraph"/>
              <w:rPr>
                <w:sz w:val="16"/>
              </w:rPr>
            </w:pPr>
          </w:p>
        </w:tc>
      </w:tr>
      <w:tr>
        <w:trPr>
          <w:trHeight w:val="199" w:hRule="atLeast"/>
        </w:trPr>
        <w:tc>
          <w:tcPr>
            <w:tcW w:w="8024"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5"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p>
      <w:pPr>
        <w:spacing w:before="76"/>
        <w:ind w:left="2953" w:right="0" w:firstLine="0"/>
        <w:jc w:val="left"/>
        <w:rPr>
          <w:b/>
          <w:sz w:val="18"/>
        </w:rPr>
      </w:pPr>
      <w:r>
        <w:rPr>
          <w:b/>
          <w:w w:val="105"/>
          <w:sz w:val="18"/>
        </w:rPr>
        <w:t>La</w:t>
      </w:r>
      <w:r>
        <w:rPr>
          <w:b/>
          <w:spacing w:val="-8"/>
          <w:w w:val="105"/>
          <w:sz w:val="18"/>
        </w:rPr>
        <w:t> </w:t>
      </w:r>
      <w:r>
        <w:rPr>
          <w:b/>
          <w:w w:val="105"/>
          <w:sz w:val="18"/>
        </w:rPr>
        <w:t>Cumbre</w:t>
      </w:r>
      <w:r>
        <w:rPr>
          <w:b/>
          <w:spacing w:val="-8"/>
          <w:w w:val="105"/>
          <w:sz w:val="18"/>
        </w:rPr>
        <w:t> </w:t>
      </w:r>
      <w:r>
        <w:rPr>
          <w:b/>
          <w:w w:val="105"/>
          <w:sz w:val="18"/>
        </w:rPr>
        <w:t>de</w:t>
      </w:r>
      <w:r>
        <w:rPr>
          <w:b/>
          <w:spacing w:val="-7"/>
          <w:w w:val="105"/>
          <w:sz w:val="18"/>
        </w:rPr>
        <w:t> </w:t>
      </w:r>
      <w:r>
        <w:rPr>
          <w:b/>
          <w:w w:val="105"/>
          <w:sz w:val="18"/>
        </w:rPr>
        <w:t>la</w:t>
      </w:r>
      <w:r>
        <w:rPr>
          <w:b/>
          <w:spacing w:val="-8"/>
          <w:w w:val="105"/>
          <w:sz w:val="18"/>
        </w:rPr>
        <w:t> </w:t>
      </w:r>
      <w:r>
        <w:rPr>
          <w:b/>
          <w:w w:val="105"/>
          <w:sz w:val="18"/>
        </w:rPr>
        <w:t>Campana,</w:t>
      </w:r>
      <w:r>
        <w:rPr>
          <w:b/>
          <w:spacing w:val="-7"/>
          <w:w w:val="105"/>
          <w:sz w:val="18"/>
        </w:rPr>
        <w:t> </w:t>
      </w:r>
      <w:r>
        <w:rPr>
          <w:b/>
          <w:w w:val="105"/>
          <w:sz w:val="18"/>
        </w:rPr>
        <w:t>San</w:t>
      </w:r>
      <w:r>
        <w:rPr>
          <w:b/>
          <w:spacing w:val="-9"/>
          <w:w w:val="105"/>
          <w:sz w:val="18"/>
        </w:rPr>
        <w:t> </w:t>
      </w:r>
      <w:r>
        <w:rPr>
          <w:b/>
          <w:w w:val="105"/>
          <w:sz w:val="18"/>
        </w:rPr>
        <w:t>Bartolo</w:t>
      </w:r>
      <w:r>
        <w:rPr>
          <w:b/>
          <w:spacing w:val="-8"/>
          <w:w w:val="105"/>
          <w:sz w:val="18"/>
        </w:rPr>
        <w:t> </w:t>
      </w:r>
      <w:r>
        <w:rPr>
          <w:b/>
          <w:w w:val="105"/>
          <w:sz w:val="18"/>
        </w:rPr>
        <w:t>Tutotepec</w:t>
      </w:r>
    </w:p>
    <w:p>
      <w:pPr>
        <w:tabs>
          <w:tab w:pos="1384" w:val="left" w:leader="none"/>
          <w:tab w:pos="2185" w:val="right" w:leader="none"/>
        </w:tabs>
        <w:spacing w:line="304" w:lineRule="auto" w:before="367"/>
        <w:ind w:left="325" w:right="1689" w:firstLine="0"/>
        <w:jc w:val="left"/>
        <w:rPr>
          <w:sz w:val="14"/>
        </w:rPr>
      </w:pPr>
      <w:r>
        <w:rPr/>
        <w:br w:type="column"/>
      </w:r>
      <w:r>
        <w:rPr>
          <w:w w:val="105"/>
          <w:position w:val="1"/>
          <w:sz w:val="14"/>
        </w:rPr>
        <w:t>Clave</w:t>
      </w:r>
      <w:r>
        <w:rPr>
          <w:spacing w:val="-5"/>
          <w:w w:val="105"/>
          <w:position w:val="1"/>
          <w:sz w:val="14"/>
        </w:rPr>
        <w:t> </w:t>
      </w:r>
      <w:r>
        <w:rPr>
          <w:w w:val="105"/>
          <w:position w:val="1"/>
          <w:sz w:val="14"/>
        </w:rPr>
        <w:t>CCIEH</w:t>
        <w:tab/>
      </w:r>
      <w:r>
        <w:rPr>
          <w:spacing w:val="-3"/>
          <w:w w:val="105"/>
          <w:sz w:val="14"/>
        </w:rPr>
        <w:t>HGOSBT019 </w:t>
      </w:r>
      <w:r>
        <w:rPr>
          <w:w w:val="105"/>
          <w:sz w:val="14"/>
        </w:rPr>
        <w:t>Clave</w:t>
      </w:r>
      <w:r>
        <w:rPr>
          <w:spacing w:val="-6"/>
          <w:w w:val="105"/>
          <w:sz w:val="14"/>
        </w:rPr>
        <w:t> </w:t>
      </w:r>
      <w:r>
        <w:rPr>
          <w:w w:val="105"/>
          <w:sz w:val="14"/>
        </w:rPr>
        <w:t>INEGI</w:t>
        <w:tab/>
        <w:t>130530144</w:t>
      </w:r>
    </w:p>
    <w:p>
      <w:pPr>
        <w:spacing w:after="0" w:line="304" w:lineRule="auto"/>
        <w:jc w:val="left"/>
        <w:rPr>
          <w:sz w:val="14"/>
        </w:rPr>
        <w:sectPr>
          <w:pgSz w:w="12240" w:h="15840"/>
          <w:pgMar w:top="860" w:bottom="280" w:left="1300" w:right="0"/>
          <w:cols w:num="2" w:equalWidth="0">
            <w:col w:w="7025" w:space="40"/>
            <w:col w:w="3875"/>
          </w:cols>
        </w:sectPr>
      </w:pPr>
    </w:p>
    <w:p>
      <w:pPr>
        <w:pStyle w:val="BodyText"/>
        <w:spacing w:before="2"/>
        <w:rPr>
          <w:sz w:val="13"/>
        </w:rPr>
      </w:pPr>
      <w:r>
        <w:rPr/>
        <w:pict>
          <v:shape style="position:absolute;margin-left:150.790787pt;margin-top:339.971283pt;width:309.9pt;height:111.6pt;mso-position-horizontal-relative:page;mso-position-vertical-relative:page;z-index:-253058048;rotation:315" type="#_x0000_t136" fillcolor="#000000" stroked="f">
            <o:extrusion v:ext="view" autorotationcenter="t"/>
            <v:textpath style="font-family:&amp;quot;Times New Roman&amp;quot;;font-size:111pt;v-text-kern:t;mso-text-shadow:auto" string="UAEH"/>
            <v:fill opacity="19532f"/>
            <w10:wrap type="none"/>
          </v:shape>
        </w:pict>
      </w:r>
    </w:p>
    <w:tbl>
      <w:tblPr>
        <w:tblW w:w="0" w:type="auto"/>
        <w:jc w:val="left"/>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49"/>
        <w:gridCol w:w="968"/>
      </w:tblGrid>
      <w:tr>
        <w:trPr>
          <w:trHeight w:val="386" w:hRule="atLeast"/>
        </w:trPr>
        <w:tc>
          <w:tcPr>
            <w:tcW w:w="2579" w:type="dxa"/>
            <w:tcBorders>
              <w:top w:val="nil"/>
              <w:left w:val="nil"/>
              <w:bottom w:val="nil"/>
              <w:right w:val="nil"/>
            </w:tcBorders>
            <w:shd w:val="clear" w:color="auto" w:fill="000000"/>
          </w:tcPr>
          <w:p>
            <w:pPr>
              <w:pStyle w:val="TableParagraph"/>
              <w:spacing w:before="136"/>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8" w:type="dxa"/>
            <w:tcBorders>
              <w:top w:val="nil"/>
              <w:left w:val="nil"/>
              <w:bottom w:val="nil"/>
              <w:right w:val="nil"/>
            </w:tcBorders>
            <w:shd w:val="clear" w:color="auto" w:fill="000000"/>
          </w:tcPr>
          <w:p>
            <w:pPr>
              <w:pStyle w:val="TableParagraph"/>
              <w:spacing w:before="10"/>
              <w:rPr>
                <w:sz w:val="11"/>
              </w:rPr>
            </w:pPr>
          </w:p>
          <w:p>
            <w:pPr>
              <w:pStyle w:val="TableParagraph"/>
              <w:ind w:right="50"/>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49" w:type="dxa"/>
            <w:tcBorders>
              <w:top w:val="nil"/>
            </w:tcBorders>
            <w:shd w:val="clear" w:color="auto" w:fill="92D050"/>
          </w:tcPr>
          <w:p>
            <w:pPr>
              <w:pStyle w:val="TableParagraph"/>
              <w:spacing w:line="145" w:lineRule="exact" w:before="18"/>
              <w:ind w:right="13"/>
              <w:jc w:val="right"/>
              <w:rPr>
                <w:sz w:val="13"/>
              </w:rPr>
            </w:pPr>
            <w:r>
              <w:rPr>
                <w:sz w:val="13"/>
              </w:rPr>
              <w:t>84%</w:t>
            </w:r>
          </w:p>
        </w:tc>
        <w:tc>
          <w:tcPr>
            <w:tcW w:w="968" w:type="dxa"/>
            <w:tcBorders>
              <w:top w:val="nil"/>
            </w:tcBorders>
            <w:shd w:val="clear" w:color="auto" w:fill="92D050"/>
          </w:tcPr>
          <w:p>
            <w:pPr>
              <w:pStyle w:val="TableParagraph"/>
              <w:spacing w:line="141" w:lineRule="exact" w:before="22"/>
              <w:ind w:right="10"/>
              <w:jc w:val="right"/>
              <w:rPr>
                <w:b/>
                <w:sz w:val="13"/>
              </w:rPr>
            </w:pPr>
            <w:r>
              <w:rPr>
                <w:b/>
                <w:sz w:val="13"/>
              </w:rPr>
              <w:t>84.0%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49" w:type="dxa"/>
            <w:shd w:val="clear" w:color="auto" w:fill="92D050"/>
          </w:tcPr>
          <w:p>
            <w:pPr>
              <w:pStyle w:val="TableParagraph"/>
              <w:spacing w:line="145" w:lineRule="exact" w:before="16"/>
              <w:ind w:right="13"/>
              <w:jc w:val="right"/>
              <w:rPr>
                <w:sz w:val="13"/>
              </w:rPr>
            </w:pPr>
            <w:r>
              <w:rPr>
                <w:sz w:val="13"/>
              </w:rPr>
              <w:t>30%</w:t>
            </w:r>
          </w:p>
        </w:tc>
        <w:tc>
          <w:tcPr>
            <w:tcW w:w="968"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70"/>
              <w:rPr>
                <w:b/>
                <w:sz w:val="13"/>
              </w:rPr>
            </w:pPr>
            <w:r>
              <w:rPr>
                <w:b/>
                <w:w w:val="105"/>
                <w:sz w:val="13"/>
              </w:rPr>
              <w:t>75.0%</w:t>
            </w: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Panteón-cementerio (15%)</w:t>
            </w:r>
          </w:p>
        </w:tc>
        <w:tc>
          <w:tcPr>
            <w:tcW w:w="949" w:type="dxa"/>
            <w:shd w:val="clear" w:color="auto" w:fill="92D050"/>
          </w:tcPr>
          <w:p>
            <w:pPr>
              <w:pStyle w:val="TableParagraph"/>
              <w:spacing w:line="146" w:lineRule="exact" w:before="16"/>
              <w:ind w:right="13"/>
              <w:jc w:val="right"/>
              <w:rPr>
                <w:sz w:val="13"/>
              </w:rPr>
            </w:pPr>
            <w:r>
              <w:rPr>
                <w:sz w:val="13"/>
              </w:rPr>
              <w:t>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49" w:type="dxa"/>
            <w:shd w:val="clear" w:color="auto" w:fill="92D050"/>
          </w:tcPr>
          <w:p>
            <w:pPr>
              <w:pStyle w:val="TableParagraph"/>
              <w:spacing w:line="145" w:lineRule="exact" w:before="16"/>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49" w:type="dxa"/>
            <w:shd w:val="clear" w:color="auto" w:fill="92D050"/>
          </w:tcPr>
          <w:p>
            <w:pPr>
              <w:pStyle w:val="TableParagraph"/>
              <w:spacing w:line="145" w:lineRule="exact" w:before="16"/>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49" w:type="dxa"/>
            <w:shd w:val="clear" w:color="auto" w:fill="92D050"/>
          </w:tcPr>
          <w:p>
            <w:pPr>
              <w:pStyle w:val="TableParagraph"/>
              <w:spacing w:line="145" w:lineRule="exact" w:before="16"/>
              <w:ind w:right="13"/>
              <w:jc w:val="right"/>
              <w:rPr>
                <w:sz w:val="13"/>
              </w:rPr>
            </w:pPr>
            <w:r>
              <w:rPr>
                <w:sz w:val="13"/>
              </w:rPr>
              <w:t>15%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49" w:type="dxa"/>
            <w:shd w:val="clear" w:color="auto" w:fill="92D050"/>
          </w:tcPr>
          <w:p>
            <w:pPr>
              <w:pStyle w:val="TableParagraph"/>
              <w:spacing w:line="145" w:lineRule="exact" w:before="16"/>
              <w:ind w:right="13"/>
              <w:jc w:val="right"/>
              <w:rPr>
                <w:sz w:val="13"/>
              </w:rPr>
            </w:pPr>
            <w:r>
              <w:rPr>
                <w:sz w:val="13"/>
              </w:rPr>
              <w:t>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49" w:type="dxa"/>
            <w:shd w:val="clear" w:color="auto" w:fill="92D050"/>
          </w:tcPr>
          <w:p>
            <w:pPr>
              <w:pStyle w:val="TableParagraph"/>
              <w:spacing w:line="145" w:lineRule="exact" w:before="16"/>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49" w:type="dxa"/>
            <w:shd w:val="clear" w:color="auto" w:fill="92D050"/>
          </w:tcPr>
          <w:p>
            <w:pPr>
              <w:pStyle w:val="TableParagraph"/>
              <w:spacing w:line="145" w:lineRule="exact" w:before="16"/>
              <w:ind w:right="13"/>
              <w:jc w:val="right"/>
              <w:rPr>
                <w:sz w:val="13"/>
              </w:rPr>
            </w:pPr>
            <w:r>
              <w:rPr>
                <w:sz w:val="13"/>
              </w:rPr>
              <w:t>0%</w:t>
            </w:r>
          </w:p>
        </w:tc>
        <w:tc>
          <w:tcPr>
            <w:tcW w:w="968" w:type="dxa"/>
            <w:vMerge w:val="restart"/>
            <w:shd w:val="clear" w:color="auto" w:fill="92D050"/>
          </w:tcPr>
          <w:p>
            <w:pPr>
              <w:pStyle w:val="TableParagraph"/>
              <w:rPr>
                <w:sz w:val="14"/>
              </w:rPr>
            </w:pPr>
          </w:p>
          <w:p>
            <w:pPr>
              <w:pStyle w:val="TableParagraph"/>
              <w:spacing w:before="7"/>
              <w:rPr>
                <w:sz w:val="12"/>
              </w:rPr>
            </w:pPr>
          </w:p>
          <w:p>
            <w:pPr>
              <w:pStyle w:val="TableParagraph"/>
              <w:ind w:left="570"/>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49" w:type="dxa"/>
            <w:shd w:val="clear" w:color="auto" w:fill="92D050"/>
          </w:tcPr>
          <w:p>
            <w:pPr>
              <w:pStyle w:val="TableParagraph"/>
              <w:spacing w:line="145" w:lineRule="exact" w:before="16"/>
              <w:ind w:right="13"/>
              <w:jc w:val="right"/>
              <w:rPr>
                <w:sz w:val="13"/>
              </w:rPr>
            </w:pPr>
            <w:r>
              <w:rPr>
                <w:sz w:val="13"/>
              </w:rPr>
              <w:t>30%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49" w:type="dxa"/>
            <w:shd w:val="clear" w:color="auto" w:fill="92D050"/>
          </w:tcPr>
          <w:p>
            <w:pPr>
              <w:pStyle w:val="TableParagraph"/>
              <w:spacing w:line="145" w:lineRule="exact" w:before="16"/>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49" w:type="dxa"/>
            <w:shd w:val="clear" w:color="auto" w:fill="92D050"/>
          </w:tcPr>
          <w:p>
            <w:pPr>
              <w:pStyle w:val="TableParagraph"/>
              <w:spacing w:line="145" w:lineRule="exact" w:before="16"/>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49" w:type="dxa"/>
            <w:shd w:val="clear" w:color="auto" w:fill="92D050"/>
          </w:tcPr>
          <w:p>
            <w:pPr>
              <w:pStyle w:val="TableParagraph"/>
              <w:spacing w:line="145" w:lineRule="exact" w:before="16"/>
              <w:ind w:right="13"/>
              <w:jc w:val="right"/>
              <w:rPr>
                <w:sz w:val="13"/>
              </w:rPr>
            </w:pPr>
            <w:r>
              <w:rPr>
                <w:sz w:val="13"/>
              </w:rPr>
              <w:t>100%</w:t>
            </w:r>
          </w:p>
        </w:tc>
        <w:tc>
          <w:tcPr>
            <w:tcW w:w="968" w:type="dxa"/>
            <w:shd w:val="clear" w:color="auto" w:fill="92D050"/>
          </w:tcPr>
          <w:p>
            <w:pPr>
              <w:pStyle w:val="TableParagraph"/>
              <w:spacing w:line="141" w:lineRule="exact" w:before="21"/>
              <w:ind w:right="10"/>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5- Comités internos tradicional</w:t>
            </w:r>
          </w:p>
        </w:tc>
        <w:tc>
          <w:tcPr>
            <w:tcW w:w="4096" w:type="dxa"/>
            <w:shd w:val="clear" w:color="auto" w:fill="92D050"/>
          </w:tcPr>
          <w:p>
            <w:pPr>
              <w:pStyle w:val="TableParagraph"/>
              <w:spacing w:line="145" w:lineRule="exact" w:before="16"/>
              <w:ind w:left="18"/>
              <w:rPr>
                <w:sz w:val="13"/>
              </w:rPr>
            </w:pPr>
            <w:r>
              <w:rPr>
                <w:w w:val="105"/>
                <w:sz w:val="13"/>
              </w:rPr>
              <w:t>Comité A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7"/>
              <w:rPr>
                <w:sz w:val="12"/>
              </w:rPr>
            </w:pPr>
          </w:p>
          <w:p>
            <w:pPr>
              <w:pStyle w:val="TableParagraph"/>
              <w:ind w:left="503"/>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49" w:type="dxa"/>
            <w:shd w:val="clear" w:color="auto" w:fill="92D050"/>
          </w:tcPr>
          <w:p>
            <w:pPr>
              <w:pStyle w:val="TableParagraph"/>
              <w:spacing w:line="145" w:lineRule="exact" w:before="16"/>
              <w:ind w:right="13"/>
              <w:jc w:val="right"/>
              <w:rPr>
                <w:sz w:val="13"/>
              </w:rPr>
            </w:pPr>
            <w:r>
              <w:rPr>
                <w:sz w:val="13"/>
              </w:rPr>
              <w:t>100%</w:t>
            </w:r>
          </w:p>
        </w:tc>
        <w:tc>
          <w:tcPr>
            <w:tcW w:w="968" w:type="dxa"/>
            <w:shd w:val="clear" w:color="auto" w:fill="92D050"/>
          </w:tcPr>
          <w:p>
            <w:pPr>
              <w:pStyle w:val="TableParagraph"/>
              <w:spacing w:line="141" w:lineRule="exact" w:before="21"/>
              <w:ind w:right="10"/>
              <w:jc w:val="right"/>
              <w:rPr>
                <w:b/>
                <w:sz w:val="13"/>
              </w:rPr>
            </w:pPr>
            <w:r>
              <w:rPr>
                <w:b/>
                <w:sz w:val="13"/>
              </w:rPr>
              <w:t>100.0%</w:t>
            </w:r>
          </w:p>
        </w:tc>
      </w:tr>
      <w:tr>
        <w:trPr>
          <w:trHeight w:val="182" w:hRule="atLeast"/>
        </w:trPr>
        <w:tc>
          <w:tcPr>
            <w:tcW w:w="2579" w:type="dxa"/>
            <w:vMerge w:val="restart"/>
            <w:shd w:val="clear" w:color="auto" w:fill="92D050"/>
          </w:tcPr>
          <w:p>
            <w:pPr>
              <w:pStyle w:val="TableParagraph"/>
              <w:spacing w:line="273" w:lineRule="auto" w:before="120"/>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7"/>
              <w:ind w:left="18"/>
              <w:rPr>
                <w:sz w:val="13"/>
              </w:rPr>
            </w:pPr>
            <w:r>
              <w:rPr>
                <w:w w:val="105"/>
                <w:sz w:val="13"/>
              </w:rPr>
              <w:t>Resolución de faltas y delitos al interior (40%)</w:t>
            </w:r>
          </w:p>
        </w:tc>
        <w:tc>
          <w:tcPr>
            <w:tcW w:w="949" w:type="dxa"/>
            <w:shd w:val="clear" w:color="auto" w:fill="92D050"/>
          </w:tcPr>
          <w:p>
            <w:pPr>
              <w:pStyle w:val="TableParagraph"/>
              <w:spacing w:line="145" w:lineRule="exact" w:before="17"/>
              <w:ind w:right="13"/>
              <w:jc w:val="right"/>
              <w:rPr>
                <w:sz w:val="13"/>
              </w:rPr>
            </w:pPr>
            <w:r>
              <w:rPr>
                <w:sz w:val="13"/>
              </w:rPr>
              <w:t>40%</w:t>
            </w:r>
          </w:p>
        </w:tc>
        <w:tc>
          <w:tcPr>
            <w:tcW w:w="968" w:type="dxa"/>
            <w:vMerge w:val="restart"/>
            <w:shd w:val="clear" w:color="auto" w:fill="92D050"/>
          </w:tcPr>
          <w:p>
            <w:pPr>
              <w:pStyle w:val="TableParagraph"/>
              <w:spacing w:before="1"/>
              <w:rPr>
                <w:sz w:val="18"/>
              </w:rPr>
            </w:pPr>
          </w:p>
          <w:p>
            <w:pPr>
              <w:pStyle w:val="TableParagraph"/>
              <w:spacing w:before="1"/>
              <w:ind w:left="570"/>
              <w:rPr>
                <w:b/>
                <w:sz w:val="13"/>
              </w:rPr>
            </w:pPr>
            <w:r>
              <w:rPr>
                <w:b/>
                <w:w w:val="105"/>
                <w:sz w:val="13"/>
              </w:rPr>
              <w:t>80.0%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49" w:type="dxa"/>
            <w:shd w:val="clear" w:color="auto" w:fill="92D050"/>
          </w:tcPr>
          <w:p>
            <w:pPr>
              <w:pStyle w:val="TableParagraph"/>
              <w:spacing w:line="145" w:lineRule="exact" w:before="16"/>
              <w:ind w:right="13"/>
              <w:jc w:val="right"/>
              <w:rPr>
                <w:sz w:val="13"/>
              </w:rPr>
            </w:pPr>
            <w:r>
              <w:rPr>
                <w:sz w:val="13"/>
              </w:rPr>
              <w:t>40%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49" w:type="dxa"/>
            <w:shd w:val="clear" w:color="auto" w:fill="92D050"/>
          </w:tcPr>
          <w:p>
            <w:pPr>
              <w:pStyle w:val="TableParagraph"/>
              <w:spacing w:line="145" w:lineRule="exact" w:before="16"/>
              <w:ind w:right="13"/>
              <w:jc w:val="right"/>
              <w:rPr>
                <w:sz w:val="13"/>
              </w:rPr>
            </w:pPr>
            <w:r>
              <w:rPr>
                <w:sz w:val="13"/>
              </w:rPr>
              <w:t>0%</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49" w:type="dxa"/>
            <w:shd w:val="clear" w:color="auto" w:fill="92D050"/>
          </w:tcPr>
          <w:p>
            <w:pPr>
              <w:pStyle w:val="TableParagraph"/>
              <w:spacing w:line="145" w:lineRule="exact" w:before="16"/>
              <w:ind w:right="13"/>
              <w:jc w:val="right"/>
              <w:rPr>
                <w:sz w:val="13"/>
              </w:rPr>
            </w:pPr>
            <w:r>
              <w:rPr>
                <w:sz w:val="13"/>
              </w:rPr>
              <w:t>100%</w:t>
            </w:r>
          </w:p>
        </w:tc>
        <w:tc>
          <w:tcPr>
            <w:tcW w:w="968" w:type="dxa"/>
            <w:shd w:val="clear" w:color="auto" w:fill="92D050"/>
          </w:tcPr>
          <w:p>
            <w:pPr>
              <w:pStyle w:val="TableParagraph"/>
              <w:spacing w:line="141" w:lineRule="exact" w:before="21"/>
              <w:ind w:right="10"/>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7"/>
              <w:rPr>
                <w:sz w:val="12"/>
              </w:rPr>
            </w:pPr>
          </w:p>
          <w:p>
            <w:pPr>
              <w:pStyle w:val="TableParagraph"/>
              <w:ind w:left="503"/>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49" w:type="dxa"/>
            <w:shd w:val="clear" w:color="auto" w:fill="92D050"/>
          </w:tcPr>
          <w:p>
            <w:pPr>
              <w:pStyle w:val="TableParagraph"/>
              <w:spacing w:line="145" w:lineRule="exact" w:before="16"/>
              <w:ind w:right="13"/>
              <w:jc w:val="right"/>
              <w:rPr>
                <w:sz w:val="13"/>
              </w:rPr>
            </w:pPr>
            <w:r>
              <w:rPr>
                <w:sz w:val="13"/>
              </w:rPr>
              <w:t>100%</w:t>
            </w:r>
          </w:p>
        </w:tc>
        <w:tc>
          <w:tcPr>
            <w:tcW w:w="968" w:type="dxa"/>
            <w:shd w:val="clear" w:color="auto" w:fill="92D050"/>
          </w:tcPr>
          <w:p>
            <w:pPr>
              <w:pStyle w:val="TableParagraph"/>
              <w:spacing w:line="141" w:lineRule="exact" w:before="21"/>
              <w:ind w:right="10"/>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7"/>
              <w:rPr>
                <w:sz w:val="12"/>
              </w:rPr>
            </w:pPr>
          </w:p>
          <w:p>
            <w:pPr>
              <w:pStyle w:val="TableParagraph"/>
              <w:ind w:left="570"/>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D (25%)</w:t>
            </w:r>
          </w:p>
        </w:tc>
        <w:tc>
          <w:tcPr>
            <w:tcW w:w="949" w:type="dxa"/>
            <w:shd w:val="clear" w:color="auto" w:fill="92D050"/>
          </w:tcPr>
          <w:p>
            <w:pPr>
              <w:pStyle w:val="TableParagraph"/>
              <w:spacing w:line="145" w:lineRule="exact" w:before="16"/>
              <w:ind w:right="13"/>
              <w:jc w:val="right"/>
              <w:rPr>
                <w:sz w:val="13"/>
              </w:rPr>
            </w:pPr>
            <w:r>
              <w:rPr>
                <w:sz w:val="13"/>
              </w:rPr>
              <w:t>0%</w:t>
            </w:r>
          </w:p>
        </w:tc>
        <w:tc>
          <w:tcPr>
            <w:tcW w:w="968"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7"/>
              <w:rPr>
                <w:sz w:val="12"/>
              </w:rPr>
            </w:pPr>
          </w:p>
          <w:p>
            <w:pPr>
              <w:pStyle w:val="TableParagraph"/>
              <w:ind w:left="503"/>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49" w:type="dxa"/>
            <w:shd w:val="clear" w:color="auto" w:fill="92D05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49" w:type="dxa"/>
            <w:shd w:val="clear" w:color="auto" w:fill="92D050"/>
          </w:tcPr>
          <w:p>
            <w:pPr>
              <w:pStyle w:val="TableParagraph"/>
              <w:spacing w:line="145" w:lineRule="exact" w:before="16"/>
              <w:ind w:right="13"/>
              <w:jc w:val="right"/>
              <w:rPr>
                <w:sz w:val="13"/>
              </w:rPr>
            </w:pPr>
            <w:r>
              <w:rPr>
                <w:sz w:val="13"/>
              </w:rPr>
              <w:t>0%</w:t>
            </w:r>
          </w:p>
        </w:tc>
        <w:tc>
          <w:tcPr>
            <w:tcW w:w="968" w:type="dxa"/>
            <w:shd w:val="clear" w:color="auto" w:fill="92D050"/>
          </w:tcPr>
          <w:p>
            <w:pPr>
              <w:pStyle w:val="TableParagraph"/>
              <w:spacing w:line="141" w:lineRule="exact" w:before="21"/>
              <w:ind w:right="10"/>
              <w:jc w:val="right"/>
              <w:rPr>
                <w:b/>
                <w:sz w:val="13"/>
              </w:rPr>
            </w:pPr>
            <w:r>
              <w:rPr>
                <w:b/>
                <w:sz w:val="13"/>
              </w:rPr>
              <w:t>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49" w:type="dxa"/>
            <w:shd w:val="clear" w:color="auto" w:fill="FFFF00"/>
          </w:tcPr>
          <w:p>
            <w:pPr>
              <w:pStyle w:val="TableParagraph"/>
              <w:spacing w:line="145" w:lineRule="exact" w:before="16"/>
              <w:ind w:right="13"/>
              <w:jc w:val="right"/>
              <w:rPr>
                <w:sz w:val="13"/>
              </w:rPr>
            </w:pPr>
            <w:r>
              <w:rPr>
                <w:sz w:val="13"/>
              </w:rPr>
              <w:t>25%</w:t>
            </w:r>
          </w:p>
        </w:tc>
        <w:tc>
          <w:tcPr>
            <w:tcW w:w="968" w:type="dxa"/>
            <w:vMerge w:val="restart"/>
            <w:shd w:val="clear" w:color="auto" w:fill="FFFF00"/>
          </w:tcPr>
          <w:p>
            <w:pPr>
              <w:pStyle w:val="TableParagraph"/>
              <w:rPr>
                <w:sz w:val="14"/>
              </w:rPr>
            </w:pPr>
          </w:p>
          <w:p>
            <w:pPr>
              <w:pStyle w:val="TableParagraph"/>
              <w:spacing w:before="7"/>
              <w:rPr>
                <w:sz w:val="12"/>
              </w:rPr>
            </w:pPr>
          </w:p>
          <w:p>
            <w:pPr>
              <w:pStyle w:val="TableParagraph"/>
              <w:ind w:left="570"/>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49" w:type="dxa"/>
            <w:shd w:val="clear" w:color="auto" w:fill="FFFF0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49" w:type="dxa"/>
            <w:shd w:val="clear" w:color="auto" w:fill="FFFF0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49" w:type="dxa"/>
            <w:shd w:val="clear" w:color="auto" w:fill="FFFF00"/>
          </w:tcPr>
          <w:p>
            <w:pPr>
              <w:pStyle w:val="TableParagraph"/>
              <w:spacing w:line="145" w:lineRule="exact" w:before="16"/>
              <w:ind w:right="13"/>
              <w:jc w:val="right"/>
              <w:rPr>
                <w:sz w:val="13"/>
              </w:rPr>
            </w:pPr>
            <w:r>
              <w:rPr>
                <w:sz w:val="13"/>
              </w:rPr>
              <w:t>0%</w:t>
            </w:r>
          </w:p>
        </w:tc>
        <w:tc>
          <w:tcPr>
            <w:tcW w:w="968"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49" w:type="dxa"/>
            <w:shd w:val="clear" w:color="auto" w:fill="FFFF00"/>
          </w:tcPr>
          <w:p>
            <w:pPr>
              <w:pStyle w:val="TableParagraph"/>
              <w:spacing w:line="145" w:lineRule="exact" w:before="16"/>
              <w:ind w:right="13"/>
              <w:jc w:val="right"/>
              <w:rPr>
                <w:sz w:val="13"/>
              </w:rPr>
            </w:pPr>
            <w:r>
              <w:rPr>
                <w:sz w:val="13"/>
              </w:rPr>
              <w:t>100%</w:t>
            </w:r>
          </w:p>
        </w:tc>
        <w:tc>
          <w:tcPr>
            <w:tcW w:w="968" w:type="dxa"/>
            <w:shd w:val="clear" w:color="auto" w:fill="FFFF00"/>
          </w:tcPr>
          <w:p>
            <w:pPr>
              <w:pStyle w:val="TableParagraph"/>
              <w:spacing w:line="141" w:lineRule="exact" w:before="21"/>
              <w:ind w:right="10"/>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49" w:type="dxa"/>
            <w:shd w:val="clear" w:color="auto" w:fill="FFFF00"/>
          </w:tcPr>
          <w:p>
            <w:pPr>
              <w:pStyle w:val="TableParagraph"/>
              <w:spacing w:line="145" w:lineRule="exact" w:before="16"/>
              <w:ind w:right="13"/>
              <w:jc w:val="right"/>
              <w:rPr>
                <w:sz w:val="13"/>
              </w:rPr>
            </w:pPr>
            <w:r>
              <w:rPr>
                <w:sz w:val="13"/>
              </w:rPr>
              <w:t>0%</w:t>
            </w:r>
          </w:p>
        </w:tc>
        <w:tc>
          <w:tcPr>
            <w:tcW w:w="968" w:type="dxa"/>
            <w:shd w:val="clear" w:color="auto" w:fill="FFFF00"/>
          </w:tcPr>
          <w:p>
            <w:pPr>
              <w:pStyle w:val="TableParagraph"/>
              <w:spacing w:line="141" w:lineRule="exact" w:before="21"/>
              <w:ind w:right="10"/>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49" w:type="dxa"/>
            <w:shd w:val="clear" w:color="auto" w:fill="FFFF00"/>
          </w:tcPr>
          <w:p>
            <w:pPr>
              <w:pStyle w:val="TableParagraph"/>
              <w:spacing w:line="145" w:lineRule="exact" w:before="16"/>
              <w:ind w:right="13"/>
              <w:jc w:val="right"/>
              <w:rPr>
                <w:sz w:val="13"/>
              </w:rPr>
            </w:pPr>
            <w:r>
              <w:rPr>
                <w:sz w:val="13"/>
              </w:rPr>
              <w:t>25%</w:t>
            </w:r>
          </w:p>
        </w:tc>
        <w:tc>
          <w:tcPr>
            <w:tcW w:w="968" w:type="dxa"/>
            <w:vMerge w:val="restart"/>
            <w:shd w:val="clear" w:color="auto" w:fill="FFFF00"/>
          </w:tcPr>
          <w:p>
            <w:pPr>
              <w:pStyle w:val="TableParagraph"/>
              <w:rPr>
                <w:sz w:val="14"/>
              </w:rPr>
            </w:pPr>
          </w:p>
          <w:p>
            <w:pPr>
              <w:pStyle w:val="TableParagraph"/>
              <w:spacing w:before="7"/>
              <w:rPr>
                <w:sz w:val="12"/>
              </w:rPr>
            </w:pPr>
          </w:p>
          <w:p>
            <w:pPr>
              <w:pStyle w:val="TableParagraph"/>
              <w:ind w:left="570"/>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49" w:type="dxa"/>
            <w:shd w:val="clear" w:color="auto" w:fill="FFFF0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49" w:type="dxa"/>
            <w:shd w:val="clear" w:color="auto" w:fill="FFFF0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49" w:type="dxa"/>
            <w:shd w:val="clear" w:color="auto" w:fill="FFFF00"/>
          </w:tcPr>
          <w:p>
            <w:pPr>
              <w:pStyle w:val="TableParagraph"/>
              <w:spacing w:line="145" w:lineRule="exact" w:before="16"/>
              <w:ind w:right="13"/>
              <w:jc w:val="right"/>
              <w:rPr>
                <w:sz w:val="13"/>
              </w:rPr>
            </w:pPr>
            <w:r>
              <w:rPr>
                <w:sz w:val="13"/>
              </w:rPr>
              <w:t>0%</w:t>
            </w:r>
          </w:p>
        </w:tc>
        <w:tc>
          <w:tcPr>
            <w:tcW w:w="968" w:type="dxa"/>
            <w:vMerge/>
            <w:tcBorders>
              <w:top w:val="nil"/>
            </w:tcBorders>
            <w:shd w:val="clear" w:color="auto" w:fill="FFFF00"/>
          </w:tcPr>
          <w:p>
            <w:pPr>
              <w:rPr>
                <w:sz w:val="2"/>
                <w:szCs w:val="2"/>
              </w:rPr>
            </w:pPr>
          </w:p>
        </w:tc>
      </w:tr>
      <w:tr>
        <w:trPr>
          <w:trHeight w:val="181" w:hRule="atLeast"/>
        </w:trPr>
        <w:tc>
          <w:tcPr>
            <w:tcW w:w="2579" w:type="dxa"/>
            <w:shd w:val="clear" w:color="auto" w:fill="F9BE8F"/>
          </w:tcPr>
          <w:p>
            <w:pPr>
              <w:pStyle w:val="TableParagraph"/>
              <w:spacing w:line="145" w:lineRule="exact" w:before="16"/>
              <w:ind w:left="23"/>
              <w:rPr>
                <w:sz w:val="13"/>
              </w:rPr>
            </w:pPr>
            <w:r>
              <w:rPr>
                <w:w w:val="105"/>
                <w:sz w:val="13"/>
              </w:rPr>
              <w:t>18- Vestimenta tradicional</w:t>
            </w:r>
          </w:p>
        </w:tc>
        <w:tc>
          <w:tcPr>
            <w:tcW w:w="4096" w:type="dxa"/>
            <w:shd w:val="clear" w:color="auto" w:fill="F9BE8F"/>
          </w:tcPr>
          <w:p>
            <w:pPr>
              <w:pStyle w:val="TableParagraph"/>
              <w:spacing w:line="145" w:lineRule="exact" w:before="16"/>
              <w:ind w:left="18"/>
              <w:rPr>
                <w:sz w:val="13"/>
              </w:rPr>
            </w:pPr>
            <w:r>
              <w:rPr>
                <w:w w:val="105"/>
                <w:sz w:val="13"/>
              </w:rPr>
              <w:t>Si (100%) No (0%)</w:t>
            </w:r>
          </w:p>
        </w:tc>
        <w:tc>
          <w:tcPr>
            <w:tcW w:w="949" w:type="dxa"/>
            <w:shd w:val="clear" w:color="auto" w:fill="F9BE8F"/>
          </w:tcPr>
          <w:p>
            <w:pPr>
              <w:pStyle w:val="TableParagraph"/>
              <w:spacing w:line="145" w:lineRule="exact" w:before="16"/>
              <w:ind w:right="13"/>
              <w:jc w:val="right"/>
              <w:rPr>
                <w:sz w:val="13"/>
              </w:rPr>
            </w:pPr>
            <w:r>
              <w:rPr>
                <w:sz w:val="13"/>
              </w:rPr>
              <w:t>100%</w:t>
            </w:r>
          </w:p>
        </w:tc>
        <w:tc>
          <w:tcPr>
            <w:tcW w:w="968" w:type="dxa"/>
            <w:shd w:val="clear" w:color="auto" w:fill="F9BE8F"/>
          </w:tcPr>
          <w:p>
            <w:pPr>
              <w:pStyle w:val="TableParagraph"/>
              <w:spacing w:line="141" w:lineRule="exact" w:before="21"/>
              <w:ind w:right="10"/>
              <w:jc w:val="right"/>
              <w:rPr>
                <w:b/>
                <w:sz w:val="13"/>
              </w:rPr>
            </w:pPr>
            <w:r>
              <w:rPr>
                <w:b/>
                <w:sz w:val="13"/>
              </w:rPr>
              <w:t>100.0%</w:t>
            </w:r>
          </w:p>
        </w:tc>
      </w:tr>
      <w:tr>
        <w:trPr>
          <w:trHeight w:val="181" w:hRule="atLeast"/>
        </w:trPr>
        <w:tc>
          <w:tcPr>
            <w:tcW w:w="2579" w:type="dxa"/>
            <w:vMerge w:val="restart"/>
            <w:shd w:val="clear" w:color="auto" w:fill="F9BE8F"/>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19- Artesanías</w:t>
            </w:r>
          </w:p>
        </w:tc>
        <w:tc>
          <w:tcPr>
            <w:tcW w:w="4096" w:type="dxa"/>
            <w:shd w:val="clear" w:color="auto" w:fill="F9BE8F"/>
          </w:tcPr>
          <w:p>
            <w:pPr>
              <w:pStyle w:val="TableParagraph"/>
              <w:spacing w:line="145" w:lineRule="exact" w:before="16"/>
              <w:ind w:left="18"/>
              <w:rPr>
                <w:sz w:val="13"/>
              </w:rPr>
            </w:pPr>
            <w:r>
              <w:rPr>
                <w:w w:val="105"/>
                <w:sz w:val="13"/>
              </w:rPr>
              <w:t>Artesania A (25%)</w:t>
            </w:r>
          </w:p>
        </w:tc>
        <w:tc>
          <w:tcPr>
            <w:tcW w:w="949" w:type="dxa"/>
            <w:shd w:val="clear" w:color="auto" w:fill="F9BE8F"/>
          </w:tcPr>
          <w:p>
            <w:pPr>
              <w:pStyle w:val="TableParagraph"/>
              <w:spacing w:line="145" w:lineRule="exact" w:before="16"/>
              <w:ind w:right="13"/>
              <w:jc w:val="right"/>
              <w:rPr>
                <w:sz w:val="13"/>
              </w:rPr>
            </w:pPr>
            <w:r>
              <w:rPr>
                <w:sz w:val="13"/>
              </w:rPr>
              <w:t>25%</w:t>
            </w:r>
          </w:p>
        </w:tc>
        <w:tc>
          <w:tcPr>
            <w:tcW w:w="968" w:type="dxa"/>
            <w:vMerge w:val="restart"/>
            <w:shd w:val="clear" w:color="auto" w:fill="F9BE8F"/>
          </w:tcPr>
          <w:p>
            <w:pPr>
              <w:pStyle w:val="TableParagraph"/>
              <w:rPr>
                <w:sz w:val="14"/>
              </w:rPr>
            </w:pPr>
          </w:p>
          <w:p>
            <w:pPr>
              <w:pStyle w:val="TableParagraph"/>
              <w:spacing w:before="7"/>
              <w:rPr>
                <w:sz w:val="12"/>
              </w:rPr>
            </w:pPr>
          </w:p>
          <w:p>
            <w:pPr>
              <w:pStyle w:val="TableParagraph"/>
              <w:ind w:left="570"/>
              <w:rPr>
                <w:b/>
                <w:sz w:val="13"/>
              </w:rPr>
            </w:pPr>
            <w:r>
              <w:rPr>
                <w:b/>
                <w:w w:val="105"/>
                <w:sz w:val="13"/>
              </w:rPr>
              <w:t>25.0%</w:t>
            </w: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Artesania B (25%)</w:t>
            </w:r>
          </w:p>
        </w:tc>
        <w:tc>
          <w:tcPr>
            <w:tcW w:w="949" w:type="dxa"/>
            <w:shd w:val="clear" w:color="auto" w:fill="F9BE8F"/>
          </w:tcPr>
          <w:p>
            <w:pPr>
              <w:pStyle w:val="TableParagraph"/>
              <w:spacing w:line="145" w:lineRule="exact" w:before="16"/>
              <w:ind w:right="13"/>
              <w:jc w:val="right"/>
              <w:rPr>
                <w:sz w:val="13"/>
              </w:rPr>
            </w:pPr>
            <w:r>
              <w:rPr>
                <w:sz w:val="13"/>
              </w:rPr>
              <w:t>0%</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Artesania C (25%)</w:t>
            </w:r>
          </w:p>
        </w:tc>
        <w:tc>
          <w:tcPr>
            <w:tcW w:w="949" w:type="dxa"/>
            <w:shd w:val="clear" w:color="auto" w:fill="F9BE8F"/>
          </w:tcPr>
          <w:p>
            <w:pPr>
              <w:pStyle w:val="TableParagraph"/>
              <w:spacing w:line="145" w:lineRule="exact" w:before="16"/>
              <w:ind w:right="13"/>
              <w:jc w:val="right"/>
              <w:rPr>
                <w:sz w:val="13"/>
              </w:rPr>
            </w:pPr>
            <w:r>
              <w:rPr>
                <w:sz w:val="13"/>
              </w:rPr>
              <w:t>0%</w:t>
            </w:r>
          </w:p>
        </w:tc>
        <w:tc>
          <w:tcPr>
            <w:tcW w:w="968" w:type="dxa"/>
            <w:vMerge/>
            <w:tcBorders>
              <w:top w:val="nil"/>
            </w:tcBorders>
            <w:shd w:val="clear" w:color="auto" w:fill="F9BE8F"/>
          </w:tcPr>
          <w:p>
            <w:pPr>
              <w:rPr>
                <w:sz w:val="2"/>
                <w:szCs w:val="2"/>
              </w:rPr>
            </w:pPr>
          </w:p>
        </w:tc>
      </w:tr>
      <w:tr>
        <w:trPr>
          <w:trHeight w:val="182"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7"/>
              <w:ind w:left="18"/>
              <w:rPr>
                <w:sz w:val="13"/>
              </w:rPr>
            </w:pPr>
            <w:r>
              <w:rPr>
                <w:w w:val="105"/>
                <w:sz w:val="13"/>
              </w:rPr>
              <w:t>Artesania D (25%)</w:t>
            </w:r>
          </w:p>
        </w:tc>
        <w:tc>
          <w:tcPr>
            <w:tcW w:w="949" w:type="dxa"/>
            <w:shd w:val="clear" w:color="auto" w:fill="F9BE8F"/>
          </w:tcPr>
          <w:p>
            <w:pPr>
              <w:pStyle w:val="TableParagraph"/>
              <w:spacing w:line="145" w:lineRule="exact" w:before="17"/>
              <w:ind w:right="13"/>
              <w:jc w:val="right"/>
              <w:rPr>
                <w:sz w:val="13"/>
              </w:rPr>
            </w:pPr>
            <w:r>
              <w:rPr>
                <w:sz w:val="13"/>
              </w:rPr>
              <w:t>0%</w:t>
            </w:r>
          </w:p>
        </w:tc>
        <w:tc>
          <w:tcPr>
            <w:tcW w:w="968" w:type="dxa"/>
            <w:vMerge/>
            <w:tcBorders>
              <w:top w:val="nil"/>
            </w:tcBorders>
            <w:shd w:val="clear" w:color="auto" w:fill="F9BE8F"/>
          </w:tcPr>
          <w:p>
            <w:pPr>
              <w:rPr>
                <w:sz w:val="2"/>
                <w:szCs w:val="2"/>
              </w:rPr>
            </w:pPr>
          </w:p>
        </w:tc>
      </w:tr>
      <w:tr>
        <w:trPr>
          <w:trHeight w:val="181" w:hRule="atLeast"/>
        </w:trPr>
        <w:tc>
          <w:tcPr>
            <w:tcW w:w="2579" w:type="dxa"/>
            <w:vMerge w:val="restart"/>
            <w:shd w:val="clear" w:color="auto" w:fill="F9BE8F"/>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BE8F"/>
          </w:tcPr>
          <w:p>
            <w:pPr>
              <w:pStyle w:val="TableParagraph"/>
              <w:spacing w:line="145" w:lineRule="exact" w:before="16"/>
              <w:ind w:left="18"/>
              <w:rPr>
                <w:sz w:val="13"/>
              </w:rPr>
            </w:pPr>
            <w:r>
              <w:rPr>
                <w:w w:val="105"/>
                <w:sz w:val="13"/>
              </w:rPr>
              <w:t>Por cada año (0.5%) máximo 50%</w:t>
            </w:r>
          </w:p>
        </w:tc>
        <w:tc>
          <w:tcPr>
            <w:tcW w:w="949" w:type="dxa"/>
            <w:shd w:val="clear" w:color="auto" w:fill="F9BE8F"/>
          </w:tcPr>
          <w:p>
            <w:pPr>
              <w:pStyle w:val="TableParagraph"/>
              <w:spacing w:line="145" w:lineRule="exact" w:before="16"/>
              <w:ind w:right="13"/>
              <w:jc w:val="right"/>
              <w:rPr>
                <w:sz w:val="13"/>
              </w:rPr>
            </w:pPr>
            <w:r>
              <w:rPr>
                <w:sz w:val="13"/>
              </w:rPr>
              <w:t>40%</w:t>
            </w:r>
          </w:p>
        </w:tc>
        <w:tc>
          <w:tcPr>
            <w:tcW w:w="968" w:type="dxa"/>
            <w:vMerge w:val="restart"/>
            <w:shd w:val="clear" w:color="auto" w:fill="F9BE8F"/>
          </w:tcPr>
          <w:p>
            <w:pPr>
              <w:pStyle w:val="TableParagraph"/>
              <w:rPr>
                <w:sz w:val="14"/>
              </w:rPr>
            </w:pPr>
          </w:p>
          <w:p>
            <w:pPr>
              <w:pStyle w:val="TableParagraph"/>
              <w:rPr>
                <w:sz w:val="14"/>
              </w:rPr>
            </w:pPr>
          </w:p>
          <w:p>
            <w:pPr>
              <w:pStyle w:val="TableParagraph"/>
              <w:rPr>
                <w:sz w:val="14"/>
              </w:rPr>
            </w:pPr>
          </w:p>
          <w:p>
            <w:pPr>
              <w:pStyle w:val="TableParagraph"/>
              <w:spacing w:before="119"/>
              <w:ind w:left="570"/>
              <w:rPr>
                <w:b/>
                <w:sz w:val="13"/>
              </w:rPr>
            </w:pPr>
            <w:r>
              <w:rPr>
                <w:b/>
                <w:w w:val="105"/>
                <w:sz w:val="13"/>
              </w:rPr>
              <w:t>90.0%</w:t>
            </w: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Mito fundacional (25%)</w:t>
            </w:r>
          </w:p>
        </w:tc>
        <w:tc>
          <w:tcPr>
            <w:tcW w:w="949" w:type="dxa"/>
            <w:shd w:val="clear" w:color="auto" w:fill="F9BE8F"/>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Hecho colectivo A (5%)</w:t>
            </w:r>
          </w:p>
        </w:tc>
        <w:tc>
          <w:tcPr>
            <w:tcW w:w="949" w:type="dxa"/>
            <w:shd w:val="clear" w:color="auto" w:fill="F9BE8F"/>
          </w:tcPr>
          <w:p>
            <w:pPr>
              <w:pStyle w:val="TableParagraph"/>
              <w:spacing w:line="145" w:lineRule="exact" w:before="16"/>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Hecho colectivo B (5%)</w:t>
            </w:r>
          </w:p>
        </w:tc>
        <w:tc>
          <w:tcPr>
            <w:tcW w:w="949" w:type="dxa"/>
            <w:shd w:val="clear" w:color="auto" w:fill="F9BE8F"/>
          </w:tcPr>
          <w:p>
            <w:pPr>
              <w:pStyle w:val="TableParagraph"/>
              <w:spacing w:line="145" w:lineRule="exact" w:before="16"/>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Hecho colectivo C (5%)</w:t>
            </w:r>
          </w:p>
        </w:tc>
        <w:tc>
          <w:tcPr>
            <w:tcW w:w="949" w:type="dxa"/>
            <w:shd w:val="clear" w:color="auto" w:fill="F9BE8F"/>
          </w:tcPr>
          <w:p>
            <w:pPr>
              <w:pStyle w:val="TableParagraph"/>
              <w:spacing w:line="145" w:lineRule="exact" w:before="16"/>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Hecho colectivo D (5%)</w:t>
            </w:r>
          </w:p>
        </w:tc>
        <w:tc>
          <w:tcPr>
            <w:tcW w:w="949" w:type="dxa"/>
            <w:shd w:val="clear" w:color="auto" w:fill="F9BE8F"/>
          </w:tcPr>
          <w:p>
            <w:pPr>
              <w:pStyle w:val="TableParagraph"/>
              <w:spacing w:line="145" w:lineRule="exact" w:before="16"/>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5" w:lineRule="exact" w:before="16"/>
              <w:ind w:left="18"/>
              <w:rPr>
                <w:sz w:val="13"/>
              </w:rPr>
            </w:pPr>
            <w:r>
              <w:rPr>
                <w:w w:val="105"/>
                <w:sz w:val="13"/>
              </w:rPr>
              <w:t>Hecho colectivo E (5%)</w:t>
            </w:r>
          </w:p>
        </w:tc>
        <w:tc>
          <w:tcPr>
            <w:tcW w:w="949" w:type="dxa"/>
            <w:shd w:val="clear" w:color="auto" w:fill="F9BE8F"/>
          </w:tcPr>
          <w:p>
            <w:pPr>
              <w:pStyle w:val="TableParagraph"/>
              <w:spacing w:line="145" w:lineRule="exact" w:before="16"/>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shd w:val="clear" w:color="auto" w:fill="F9BE8F"/>
          </w:tcPr>
          <w:p>
            <w:pPr>
              <w:pStyle w:val="TableParagraph"/>
              <w:spacing w:line="145" w:lineRule="exact" w:before="16"/>
              <w:ind w:left="23"/>
              <w:rPr>
                <w:sz w:val="13"/>
              </w:rPr>
            </w:pPr>
            <w:r>
              <w:rPr>
                <w:w w:val="105"/>
                <w:sz w:val="13"/>
              </w:rPr>
              <w:t>21- Reglamentos y/o acuerdos</w:t>
            </w:r>
          </w:p>
        </w:tc>
        <w:tc>
          <w:tcPr>
            <w:tcW w:w="4096" w:type="dxa"/>
            <w:shd w:val="clear" w:color="auto" w:fill="F9BE8F"/>
          </w:tcPr>
          <w:p>
            <w:pPr>
              <w:pStyle w:val="TableParagraph"/>
              <w:spacing w:line="145" w:lineRule="exact" w:before="16"/>
              <w:ind w:left="18"/>
              <w:rPr>
                <w:sz w:val="13"/>
              </w:rPr>
            </w:pPr>
            <w:r>
              <w:rPr>
                <w:w w:val="105"/>
                <w:sz w:val="13"/>
              </w:rPr>
              <w:t>Si (100%) No (0%)</w:t>
            </w:r>
          </w:p>
        </w:tc>
        <w:tc>
          <w:tcPr>
            <w:tcW w:w="949" w:type="dxa"/>
            <w:shd w:val="clear" w:color="auto" w:fill="F9BE8F"/>
          </w:tcPr>
          <w:p>
            <w:pPr>
              <w:pStyle w:val="TableParagraph"/>
              <w:spacing w:line="145" w:lineRule="exact" w:before="16"/>
              <w:ind w:right="13"/>
              <w:jc w:val="right"/>
              <w:rPr>
                <w:sz w:val="13"/>
              </w:rPr>
            </w:pPr>
            <w:r>
              <w:rPr>
                <w:sz w:val="13"/>
              </w:rPr>
              <w:t>0%</w:t>
            </w:r>
          </w:p>
        </w:tc>
        <w:tc>
          <w:tcPr>
            <w:tcW w:w="968" w:type="dxa"/>
            <w:shd w:val="clear" w:color="auto" w:fill="F9BE8F"/>
          </w:tcPr>
          <w:p>
            <w:pPr>
              <w:pStyle w:val="TableParagraph"/>
              <w:spacing w:line="141" w:lineRule="exact" w:before="21"/>
              <w:ind w:right="10"/>
              <w:jc w:val="right"/>
              <w:rPr>
                <w:b/>
                <w:sz w:val="13"/>
              </w:rPr>
            </w:pPr>
            <w:r>
              <w:rPr>
                <w:b/>
                <w:sz w:val="13"/>
              </w:rPr>
              <w:t>0.0%</w:t>
            </w:r>
          </w:p>
        </w:tc>
      </w:tr>
      <w:tr>
        <w:trPr>
          <w:trHeight w:val="181" w:hRule="atLeast"/>
        </w:trPr>
        <w:tc>
          <w:tcPr>
            <w:tcW w:w="2579" w:type="dxa"/>
            <w:vMerge w:val="restart"/>
            <w:shd w:val="clear" w:color="auto" w:fill="DCE6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CE6F0"/>
          </w:tcPr>
          <w:p>
            <w:pPr>
              <w:pStyle w:val="TableParagraph"/>
              <w:spacing w:line="145" w:lineRule="exact" w:before="16"/>
              <w:ind w:left="18"/>
              <w:rPr>
                <w:sz w:val="13"/>
              </w:rPr>
            </w:pPr>
            <w:r>
              <w:rPr>
                <w:w w:val="105"/>
                <w:sz w:val="13"/>
              </w:rPr>
              <w:t>Patrimonio A (25%)</w:t>
            </w:r>
          </w:p>
        </w:tc>
        <w:tc>
          <w:tcPr>
            <w:tcW w:w="949" w:type="dxa"/>
            <w:shd w:val="clear" w:color="auto" w:fill="DCE6F0"/>
          </w:tcPr>
          <w:p>
            <w:pPr>
              <w:pStyle w:val="TableParagraph"/>
              <w:spacing w:line="145" w:lineRule="exact" w:before="16"/>
              <w:ind w:right="13"/>
              <w:jc w:val="right"/>
              <w:rPr>
                <w:sz w:val="13"/>
              </w:rPr>
            </w:pPr>
            <w:r>
              <w:rPr>
                <w:sz w:val="13"/>
              </w:rPr>
              <w:t>25%</w:t>
            </w:r>
          </w:p>
        </w:tc>
        <w:tc>
          <w:tcPr>
            <w:tcW w:w="968" w:type="dxa"/>
            <w:vMerge w:val="restart"/>
            <w:shd w:val="clear" w:color="auto" w:fill="DCE6F0"/>
          </w:tcPr>
          <w:p>
            <w:pPr>
              <w:pStyle w:val="TableParagraph"/>
              <w:rPr>
                <w:sz w:val="14"/>
              </w:rPr>
            </w:pPr>
          </w:p>
          <w:p>
            <w:pPr>
              <w:pStyle w:val="TableParagraph"/>
              <w:spacing w:before="7"/>
              <w:rPr>
                <w:sz w:val="12"/>
              </w:rPr>
            </w:pPr>
          </w:p>
          <w:p>
            <w:pPr>
              <w:pStyle w:val="TableParagraph"/>
              <w:ind w:left="503"/>
              <w:rPr>
                <w:b/>
                <w:sz w:val="13"/>
              </w:rPr>
            </w:pPr>
            <w:r>
              <w:rPr>
                <w:b/>
                <w:w w:val="105"/>
                <w:sz w:val="13"/>
              </w:rPr>
              <w:t>100.0%</w:t>
            </w:r>
          </w:p>
        </w:tc>
      </w:tr>
      <w:tr>
        <w:trPr>
          <w:trHeight w:val="181" w:hRule="atLeast"/>
        </w:trPr>
        <w:tc>
          <w:tcPr>
            <w:tcW w:w="2579" w:type="dxa"/>
            <w:vMerge/>
            <w:tcBorders>
              <w:top w:val="nil"/>
            </w:tcBorders>
            <w:shd w:val="clear" w:color="auto" w:fill="DCE6F0"/>
          </w:tcPr>
          <w:p>
            <w:pPr>
              <w:rPr>
                <w:sz w:val="2"/>
                <w:szCs w:val="2"/>
              </w:rPr>
            </w:pPr>
          </w:p>
        </w:tc>
        <w:tc>
          <w:tcPr>
            <w:tcW w:w="4096" w:type="dxa"/>
            <w:shd w:val="clear" w:color="auto" w:fill="DCE6F0"/>
          </w:tcPr>
          <w:p>
            <w:pPr>
              <w:pStyle w:val="TableParagraph"/>
              <w:spacing w:line="145" w:lineRule="exact" w:before="16"/>
              <w:ind w:left="18"/>
              <w:rPr>
                <w:sz w:val="13"/>
              </w:rPr>
            </w:pPr>
            <w:r>
              <w:rPr>
                <w:w w:val="105"/>
                <w:sz w:val="13"/>
              </w:rPr>
              <w:t>Patrimonio B (25%)</w:t>
            </w:r>
          </w:p>
        </w:tc>
        <w:tc>
          <w:tcPr>
            <w:tcW w:w="949" w:type="dxa"/>
            <w:shd w:val="clear" w:color="auto" w:fill="DCE6F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DCE6F0"/>
          </w:tcPr>
          <w:p>
            <w:pPr>
              <w:rPr>
                <w:sz w:val="2"/>
                <w:szCs w:val="2"/>
              </w:rPr>
            </w:pPr>
          </w:p>
        </w:tc>
      </w:tr>
      <w:tr>
        <w:trPr>
          <w:trHeight w:val="181" w:hRule="atLeast"/>
        </w:trPr>
        <w:tc>
          <w:tcPr>
            <w:tcW w:w="2579" w:type="dxa"/>
            <w:vMerge/>
            <w:tcBorders>
              <w:top w:val="nil"/>
            </w:tcBorders>
            <w:shd w:val="clear" w:color="auto" w:fill="DCE6F0"/>
          </w:tcPr>
          <w:p>
            <w:pPr>
              <w:rPr>
                <w:sz w:val="2"/>
                <w:szCs w:val="2"/>
              </w:rPr>
            </w:pPr>
          </w:p>
        </w:tc>
        <w:tc>
          <w:tcPr>
            <w:tcW w:w="4096" w:type="dxa"/>
            <w:shd w:val="clear" w:color="auto" w:fill="DCE6F0"/>
          </w:tcPr>
          <w:p>
            <w:pPr>
              <w:pStyle w:val="TableParagraph"/>
              <w:spacing w:line="145" w:lineRule="exact" w:before="16"/>
              <w:ind w:left="18"/>
              <w:rPr>
                <w:sz w:val="13"/>
              </w:rPr>
            </w:pPr>
            <w:r>
              <w:rPr>
                <w:w w:val="105"/>
                <w:sz w:val="13"/>
              </w:rPr>
              <w:t>Patrimonio C (25%)</w:t>
            </w:r>
          </w:p>
        </w:tc>
        <w:tc>
          <w:tcPr>
            <w:tcW w:w="949" w:type="dxa"/>
            <w:shd w:val="clear" w:color="auto" w:fill="DCE6F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DCE6F0"/>
          </w:tcPr>
          <w:p>
            <w:pPr>
              <w:rPr>
                <w:sz w:val="2"/>
                <w:szCs w:val="2"/>
              </w:rPr>
            </w:pPr>
          </w:p>
        </w:tc>
      </w:tr>
      <w:tr>
        <w:trPr>
          <w:trHeight w:val="181" w:hRule="atLeast"/>
        </w:trPr>
        <w:tc>
          <w:tcPr>
            <w:tcW w:w="2579" w:type="dxa"/>
            <w:vMerge/>
            <w:tcBorders>
              <w:top w:val="nil"/>
            </w:tcBorders>
            <w:shd w:val="clear" w:color="auto" w:fill="DCE6F0"/>
          </w:tcPr>
          <w:p>
            <w:pPr>
              <w:rPr>
                <w:sz w:val="2"/>
                <w:szCs w:val="2"/>
              </w:rPr>
            </w:pPr>
          </w:p>
        </w:tc>
        <w:tc>
          <w:tcPr>
            <w:tcW w:w="4096" w:type="dxa"/>
            <w:shd w:val="clear" w:color="auto" w:fill="DCE6F0"/>
          </w:tcPr>
          <w:p>
            <w:pPr>
              <w:pStyle w:val="TableParagraph"/>
              <w:spacing w:line="145" w:lineRule="exact" w:before="16"/>
              <w:ind w:left="18"/>
              <w:rPr>
                <w:sz w:val="13"/>
              </w:rPr>
            </w:pPr>
            <w:r>
              <w:rPr>
                <w:w w:val="105"/>
                <w:sz w:val="13"/>
              </w:rPr>
              <w:t>Patrimonio D (25%)</w:t>
            </w:r>
          </w:p>
        </w:tc>
        <w:tc>
          <w:tcPr>
            <w:tcW w:w="949" w:type="dxa"/>
            <w:shd w:val="clear" w:color="auto" w:fill="DCE6F0"/>
          </w:tcPr>
          <w:p>
            <w:pPr>
              <w:pStyle w:val="TableParagraph"/>
              <w:spacing w:line="145" w:lineRule="exact" w:before="16"/>
              <w:ind w:right="13"/>
              <w:jc w:val="right"/>
              <w:rPr>
                <w:sz w:val="13"/>
              </w:rPr>
            </w:pPr>
            <w:r>
              <w:rPr>
                <w:sz w:val="13"/>
              </w:rPr>
              <w:t>25%</w:t>
            </w:r>
          </w:p>
        </w:tc>
        <w:tc>
          <w:tcPr>
            <w:tcW w:w="968" w:type="dxa"/>
            <w:vMerge/>
            <w:tcBorders>
              <w:top w:val="nil"/>
            </w:tcBorders>
            <w:shd w:val="clear" w:color="auto" w:fill="DCE6F0"/>
          </w:tcPr>
          <w:p>
            <w:pPr>
              <w:rPr>
                <w:sz w:val="2"/>
                <w:szCs w:val="2"/>
              </w:rPr>
            </w:pPr>
          </w:p>
        </w:tc>
      </w:tr>
    </w:tbl>
    <w:p>
      <w:pPr>
        <w:spacing w:before="15"/>
        <w:ind w:left="711" w:right="0" w:firstLine="0"/>
        <w:jc w:val="left"/>
        <w:rPr>
          <w:sz w:val="12"/>
        </w:rPr>
      </w:pPr>
      <w:r>
        <w:rPr>
          <w:sz w:val="12"/>
        </w:rPr>
        <w:t>*% de PHLI Nacional (INEGI, 2010)</w:t>
      </w:r>
    </w:p>
    <w:p>
      <w:pPr>
        <w:spacing w:after="0"/>
        <w:jc w:val="left"/>
        <w:rPr>
          <w:sz w:val="12"/>
        </w:rPr>
        <w:sectPr>
          <w:type w:val="continuous"/>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tabs>
          <w:tab w:pos="8312" w:val="left" w:leader="none"/>
        </w:tabs>
        <w:spacing w:before="102"/>
        <w:ind w:left="6983" w:right="0" w:firstLine="0"/>
        <w:jc w:val="left"/>
        <w:rPr>
          <w:sz w:val="10"/>
        </w:rPr>
      </w:pPr>
      <w:r>
        <w:rPr/>
        <w:pict>
          <v:group style="position:absolute;margin-left:161pt;margin-top:-322.562042pt;width:291.3pt;height:290.6pt;mso-position-horizontal-relative:page;mso-position-vertical-relative:paragraph;z-index:251663360" coordorigin="3220,-6451" coordsize="5826,5812">
            <v:shape style="position:absolute;left:-2897;top:1435;width:5794;height:5782" coordorigin="-2897,1435" coordsize="5794,5782" path="m6144,-4123l6300,-4102,6446,-4039,6569,-3938,6660,-3809,6713,-3660,6722,-3504,6691,-3348,6619,-3209,6511,-3091,6374,-3010,6223,-2966,6065,-2966,5911,-3010,5777,-3091,5669,-3209,5597,-3348,5563,-3504,5575,-3660,5628,-3809,5719,-3938,5842,-4039,5988,-4102,6144,-4123m6144,-4704l6456,-4661,6746,-4536,6994,-4334,7176,-4078,7282,-3780,7303,-3463,7238,-3154,7092,-2873,6876,-2642,6607,-2477,6302,-2393,5986,-2393,5681,-2477,5410,-2642,5194,-2873,5050,-3154,4985,-3463,5006,-3780,5112,-4078,5294,-4334,5539,-4536,5830,-4661,6144,-4704m6144,-5285l6614,-5220,7049,-5030,7416,-4733,7692,-4344,7850,-3898,7882,-3425,7786,-2959,7567,-2537,7243,-2191,6838,-1944,6382,-1817,5906,-1817,5450,-1944,5045,-2191,4721,-2537,4502,-2959,4406,-3425,4438,-3898,4596,-4344,4870,-4733,5239,-5030,5674,-5220,6144,-5285m6144,-5866l6770,-5779,7351,-5527,7841,-5129,8206,-4610,8419,-4015,8462,-3384,8333,-2765,8042,-2203,7610,-1740,7070,-1411,6461,-1241,5827,-1241,5218,-1411,4678,-1740,4246,-2203,3955,-2765,3826,-3384,3869,-4015,4080,-4610,4445,-5129,4937,-5527,5518,-5779,6144,-5866m6144,-6446l6926,-6338,7654,-6024,8266,-5525,8722,-4879,8988,-4133,9041,-3343,8880,-2570,8515,-1867,7978,-1289,7301,-878,6540,-665,5748,-665,4987,-878,4310,-1289,3770,-1867,3408,-2570,3247,-3343,3300,-4133,3566,-4879,4022,-5525,4634,-6024,5359,-6338,6144,-6446e" filled="false" stroked="true" strokeweight=".48pt" strokecolor="#858585">
              <v:path arrowok="t"/>
              <v:stroke dashstyle="solid"/>
            </v:shape>
            <v:shape style="position:absolute;left:3246;top:-6025;width:5741;height:5359" coordorigin="3246,-6024" coordsize="5741,5359" path="m4635,-6024l6144,-3543,6539,-666,7012,-1545,8215,-1545,8516,-1868,8880,-2570,8462,-3384,8987,-4133,8756,-4783,6898,-4783,6731,-5640,6144,-5982,4635,-6024xm6144,-3543l4311,-1290,5276,-1545,6144,-3543xm8215,-1545l7012,-1545,7976,-1290,8215,-1545xm3823,-4745l5433,-3690,3246,-3345,4092,-2813,6144,-3543,3823,-4745xm8266,-5525l6898,-4783,8756,-4783,8722,-4879,8266,-5525xe" filled="true" fillcolor="#9bba58" stroked="false">
              <v:path arrowok="t"/>
              <v:fill type="solid"/>
            </v:shape>
            <v:shape style="position:absolute;left:3246;top:-6025;width:5741;height:5359" coordorigin="3246,-6024" coordsize="5741,5359" path="m6144,-5982l6731,-5640,6898,-4783,8266,-5525,8722,-4879,8987,-4133,8462,-3384,8880,-2570,8516,-1868,7976,-1290,7012,-1545,6539,-666,6144,-3543,5276,-1545,4311,-1290,6144,-3543,4092,-2813,3246,-3345,5433,-3690,3823,-4745,6144,-3543,4635,-6024,6144,-5982e" filled="false" stroked="true" strokeweight="2.64pt" strokecolor="#005325">
              <v:path arrowok="t"/>
              <v:stroke dashstyle="solid"/>
            </v:shape>
            <v:shape style="position:absolute;left:-2897;top:854;width:5794;height:5782" coordorigin="-2897,854" coordsize="5794,5782" path="m6144,-3542l6144,-6446m6144,-3542l6926,-6338m6144,-3542l7654,-6024m6144,-3542l8266,-5525m6144,-3542l8722,-4879m6144,-3542l8988,-4133m6144,-3542l9041,-3346m6144,-3542l8880,-2570m6144,-3542l8515,-1867m6144,-3542l7978,-1289m6144,-3542l7301,-878m6144,-3542l6540,-665m6144,-3542l5748,-665m6144,-3542l4987,-878m6144,-3542l4310,-1289m6144,-3542l3770,-1867m6144,-3542l3408,-2570m6144,-3542l3247,-3346m6144,-3542l3300,-4133m6144,-3542l3566,-4879m6144,-3542l4022,-5525m6144,-3542l4634,-6024m6144,-3542l5359,-6338m6144,-3542l6144,-6446e" filled="false" stroked="true" strokeweight=".48pt" strokecolor="#858585">
              <v:path arrowok="t"/>
              <v:stroke dashstyle="solid"/>
            </v:shape>
            <v:shape style="position:absolute;left:3247;top:-5525;width:5741;height:4860" coordorigin="3247,-5525" coordsize="5741,4860" path="m5767,-4164l6144,-3732,6379,-4382,6295,-3790,8266,-5525,6787,-3876,8988,-4133,6722,-3504,8880,-2570,6737,-3125,7978,-1289,6432,-2878,6242,-2822,5748,-665,5854,-2878,4310,-1289,3770,-1867,5460,-3300,3247,-3346,5434,-3691,5885,-3677,4022,-5525,5767,-4164e" filled="false" stroked="true" strokeweight=".96pt" strokecolor="#bd4a47">
              <v:path arrowok="t"/>
              <v:stroke dashstyle="solid"/>
            </v:shape>
            <w10:wrap type="none"/>
          </v:group>
        </w:pict>
      </w:r>
      <w:r>
        <w:rPr/>
        <w:pict>
          <v:line style="position:absolute;mso-position-horizontal-relative:page;mso-position-vertical-relative:paragraph;z-index:251664384" from="397.559998pt,8.037963pt" to="412.319998pt,8.037963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5.0159pt;margin-top:-414.402863pt;width:438.05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8"/>
                    <w:gridCol w:w="1082"/>
                  </w:tblGrid>
                  <w:tr>
                    <w:trPr>
                      <w:trHeight w:val="400" w:hRule="atLeast"/>
                    </w:trPr>
                    <w:tc>
                      <w:tcPr>
                        <w:tcW w:w="7678" w:type="dxa"/>
                      </w:tcPr>
                      <w:p>
                        <w:pPr>
                          <w:pStyle w:val="TableParagraph"/>
                          <w:spacing w:line="206" w:lineRule="exact"/>
                          <w:ind w:left="2295"/>
                          <w:rPr>
                            <w:b/>
                            <w:sz w:val="18"/>
                          </w:rPr>
                        </w:pPr>
                        <w:r>
                          <w:rPr>
                            <w:b/>
                            <w:w w:val="105"/>
                            <w:sz w:val="18"/>
                          </w:rPr>
                          <w:t>La Cumbre de la Campana, San Bartolo Tutotepec</w:t>
                        </w:r>
                      </w:p>
                    </w:tc>
                    <w:tc>
                      <w:tcPr>
                        <w:tcW w:w="1082" w:type="dxa"/>
                      </w:tcPr>
                      <w:p>
                        <w:pPr>
                          <w:pStyle w:val="TableParagraph"/>
                          <w:rPr>
                            <w:sz w:val="10"/>
                          </w:rPr>
                        </w:pPr>
                      </w:p>
                    </w:tc>
                  </w:tr>
                  <w:tr>
                    <w:trPr>
                      <w:trHeight w:val="367" w:hRule="atLeast"/>
                    </w:trPr>
                    <w:tc>
                      <w:tcPr>
                        <w:tcW w:w="7678"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2" w:type="dxa"/>
                      </w:tcPr>
                      <w:p>
                        <w:pPr>
                          <w:pStyle w:val="TableParagraph"/>
                          <w:spacing w:before="8"/>
                          <w:rPr>
                            <w:sz w:val="16"/>
                          </w:rPr>
                        </w:pPr>
                      </w:p>
                      <w:p>
                        <w:pPr>
                          <w:pStyle w:val="TableParagraph"/>
                          <w:spacing w:line="155" w:lineRule="exact"/>
                          <w:ind w:left="170"/>
                          <w:rPr>
                            <w:sz w:val="14"/>
                          </w:rPr>
                        </w:pPr>
                        <w:r>
                          <w:rPr>
                            <w:w w:val="105"/>
                            <w:sz w:val="14"/>
                          </w:rPr>
                          <w:t>HGOSBT019</w:t>
                        </w:r>
                      </w:p>
                    </w:tc>
                  </w:tr>
                  <w:tr>
                    <w:trPr>
                      <w:trHeight w:val="7635" w:hRule="atLeast"/>
                    </w:trPr>
                    <w:tc>
                      <w:tcPr>
                        <w:tcW w:w="7678"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4"/>
                          <w:ind w:left="834"/>
                          <w:jc w:val="center"/>
                          <w:rPr>
                            <w:sz w:val="9"/>
                          </w:rPr>
                        </w:pPr>
                        <w:r>
                          <w:rPr>
                            <w:w w:val="105"/>
                            <w:sz w:val="9"/>
                          </w:rPr>
                          <w:t>1- Hablantes de lengua indígena *</w:t>
                        </w:r>
                      </w:p>
                      <w:p>
                        <w:pPr>
                          <w:pStyle w:val="TableParagraph"/>
                          <w:tabs>
                            <w:tab w:pos="5083" w:val="left" w:leader="none"/>
                          </w:tabs>
                          <w:spacing w:before="66"/>
                          <w:ind w:left="3962"/>
                          <w:rPr>
                            <w:sz w:val="9"/>
                          </w:rPr>
                        </w:pPr>
                        <w:r>
                          <w:rPr>
                            <w:b/>
                            <w:w w:val="105"/>
                            <w:sz w:val="8"/>
                          </w:rPr>
                          <w:t>100%</w:t>
                          <w:tab/>
                        </w:r>
                        <w:r>
                          <w:rPr>
                            <w:w w:val="105"/>
                            <w:sz w:val="9"/>
                          </w:rPr>
                          <w:t>2-</w:t>
                        </w:r>
                        <w:r>
                          <w:rPr>
                            <w:spacing w:val="-2"/>
                            <w:w w:val="105"/>
                            <w:sz w:val="9"/>
                          </w:rPr>
                          <w:t> </w:t>
                        </w:r>
                        <w:r>
                          <w:rPr>
                            <w:w w:val="105"/>
                            <w:sz w:val="9"/>
                          </w:rPr>
                          <w:t>Territorio</w:t>
                        </w:r>
                      </w:p>
                      <w:p>
                        <w:pPr>
                          <w:pStyle w:val="TableParagraph"/>
                          <w:rPr>
                            <w:sz w:val="10"/>
                          </w:rPr>
                        </w:pPr>
                      </w:p>
                      <w:p>
                        <w:pPr>
                          <w:pStyle w:val="TableParagraph"/>
                          <w:spacing w:before="3"/>
                          <w:rPr>
                            <w:sz w:val="9"/>
                          </w:rPr>
                        </w:pPr>
                      </w:p>
                      <w:p>
                        <w:pPr>
                          <w:pStyle w:val="TableParagraph"/>
                          <w:tabs>
                            <w:tab w:pos="4909" w:val="left" w:leader="none"/>
                          </w:tabs>
                          <w:ind w:left="680"/>
                          <w:jc w:val="center"/>
                          <w:rPr>
                            <w:sz w:val="9"/>
                          </w:rPr>
                        </w:pPr>
                        <w:r>
                          <w:rPr>
                            <w:w w:val="105"/>
                            <w:sz w:val="9"/>
                          </w:rPr>
                          <w:t>22-</w:t>
                        </w:r>
                        <w:r>
                          <w:rPr>
                            <w:spacing w:val="-3"/>
                            <w:w w:val="105"/>
                            <w:sz w:val="9"/>
                          </w:rPr>
                          <w:t> </w:t>
                        </w:r>
                        <w:r>
                          <w:rPr>
                            <w:w w:val="105"/>
                            <w:sz w:val="9"/>
                          </w:rPr>
                          <w:t>Patrimonio</w:t>
                        </w:r>
                        <w:r>
                          <w:rPr>
                            <w:spacing w:val="-3"/>
                            <w:w w:val="105"/>
                            <w:sz w:val="9"/>
                          </w:rPr>
                          <w:t> </w:t>
                        </w:r>
                        <w:r>
                          <w:rPr>
                            <w:w w:val="105"/>
                            <w:sz w:val="9"/>
                          </w:rPr>
                          <w:t>comunitario</w:t>
                          <w:tab/>
                          <w:t>3- Autoridad tradicional</w:t>
                        </w:r>
                      </w:p>
                      <w:p>
                        <w:pPr>
                          <w:pStyle w:val="TableParagraph"/>
                          <w:spacing w:before="1"/>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70"/>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4"/>
                            <w:w w:val="105"/>
                            <w:sz w:val="9"/>
                          </w:rPr>
                          <w:t> </w:t>
                        </w:r>
                        <w:r>
                          <w:rPr>
                            <w:w w:val="105"/>
                            <w:sz w:val="9"/>
                          </w:rPr>
                          <w:t>comunitaria</w:t>
                        </w:r>
                      </w:p>
                      <w:p>
                        <w:pPr>
                          <w:pStyle w:val="TableParagraph"/>
                          <w:rPr>
                            <w:sz w:val="10"/>
                          </w:rPr>
                        </w:pPr>
                      </w:p>
                      <w:p>
                        <w:pPr>
                          <w:pStyle w:val="TableParagraph"/>
                          <w:spacing w:before="5"/>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7" w:val="left" w:leader="none"/>
                          </w:tabs>
                          <w:spacing w:before="69"/>
                          <w:ind w:right="-15"/>
                          <w:jc w:val="right"/>
                          <w:rPr>
                            <w:sz w:val="9"/>
                          </w:rPr>
                        </w:pPr>
                        <w:r>
                          <w:rPr>
                            <w:w w:val="105"/>
                            <w:sz w:val="9"/>
                          </w:rPr>
                          <w:t>20-</w:t>
                        </w:r>
                        <w:r>
                          <w:rPr>
                            <w:spacing w:val="-2"/>
                            <w:w w:val="105"/>
                            <w:sz w:val="9"/>
                          </w:rPr>
                          <w:t> </w:t>
                        </w:r>
                        <w:r>
                          <w:rPr>
                            <w:w w:val="105"/>
                            <w:sz w:val="9"/>
                          </w:rPr>
                          <w:t>Origen</w:t>
                          <w:tab/>
                          <w:t>5- Comités</w:t>
                        </w:r>
                        <w:r>
                          <w:rPr>
                            <w:spacing w:val="-14"/>
                            <w:w w:val="105"/>
                            <w:sz w:val="9"/>
                          </w:rPr>
                          <w:t> </w:t>
                        </w:r>
                        <w:r>
                          <w:rPr>
                            <w:w w:val="105"/>
                            <w:sz w:val="9"/>
                          </w:rPr>
                          <w:t>internos</w:t>
                        </w:r>
                      </w:p>
                      <w:p>
                        <w:pPr>
                          <w:pStyle w:val="TableParagraph"/>
                          <w:spacing w:before="5"/>
                          <w:rPr>
                            <w:sz w:val="11"/>
                          </w:rPr>
                        </w:pPr>
                      </w:p>
                      <w:p>
                        <w:pPr>
                          <w:pStyle w:val="TableParagraph"/>
                          <w:spacing w:before="1"/>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10"/>
                          <w:rPr>
                            <w:sz w:val="6"/>
                          </w:rPr>
                        </w:pPr>
                      </w:p>
                      <w:p>
                        <w:pPr>
                          <w:pStyle w:val="TableParagraph"/>
                          <w:tabs>
                            <w:tab w:pos="3260" w:val="left" w:leader="none"/>
                            <w:tab w:pos="6483" w:val="left" w:leader="none"/>
                          </w:tabs>
                          <w:ind w:right="-15"/>
                          <w:jc w:val="right"/>
                          <w:rPr>
                            <w:sz w:val="9"/>
                          </w:rPr>
                        </w:pPr>
                        <w:r>
                          <w:rPr>
                            <w:w w:val="105"/>
                            <w:sz w:val="9"/>
                          </w:rPr>
                          <w:t>19-</w:t>
                        </w:r>
                        <w:r>
                          <w:rPr>
                            <w:spacing w:val="-3"/>
                            <w:w w:val="105"/>
                            <w:sz w:val="9"/>
                          </w:rPr>
                          <w:t> </w:t>
                        </w:r>
                        <w:r>
                          <w:rPr>
                            <w:w w:val="105"/>
                            <w:sz w:val="9"/>
                          </w:rPr>
                          <w:t>Artesanías</w:t>
                          <w:tab/>
                        </w:r>
                        <w:r>
                          <w:rPr>
                            <w:b/>
                            <w:w w:val="105"/>
                            <w:position w:val="-2"/>
                            <w:sz w:val="8"/>
                          </w:rPr>
                          <w:t>20%</w:t>
                          <w:tab/>
                        </w:r>
                        <w:r>
                          <w:rPr>
                            <w:w w:val="105"/>
                            <w:sz w:val="9"/>
                          </w:rPr>
                          <w:t>6-</w:t>
                        </w:r>
                        <w:r>
                          <w:rPr>
                            <w:spacing w:val="-7"/>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7"/>
                          <w:ind w:left="4043"/>
                          <w:rPr>
                            <w:b/>
                            <w:sz w:val="8"/>
                          </w:rPr>
                        </w:pPr>
                        <w:r>
                          <w:rPr>
                            <w:b/>
                            <w:sz w:val="8"/>
                          </w:rPr>
                          <w:t>0%</w:t>
                        </w:r>
                      </w:p>
                      <w:p>
                        <w:pPr>
                          <w:pStyle w:val="TableParagraph"/>
                          <w:tabs>
                            <w:tab w:pos="7075" w:val="left" w:leader="none"/>
                          </w:tabs>
                          <w:spacing w:before="56"/>
                          <w:ind w:right="36"/>
                          <w:jc w:val="right"/>
                          <w:rPr>
                            <w:sz w:val="9"/>
                          </w:rPr>
                        </w:pPr>
                        <w:r>
                          <w:rPr>
                            <w:w w:val="105"/>
                            <w:sz w:val="9"/>
                          </w:rPr>
                          <w:t>18-</w:t>
                        </w:r>
                        <w:r>
                          <w:rPr>
                            <w:spacing w:val="-3"/>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ind w:right="-15"/>
                          <w:jc w:val="right"/>
                          <w:rPr>
                            <w:sz w:val="9"/>
                          </w:rPr>
                        </w:pPr>
                        <w:r>
                          <w:rPr>
                            <w:w w:val="105"/>
                            <w:sz w:val="9"/>
                          </w:rPr>
                          <w:t>17- Leyendas</w:t>
                        </w:r>
                        <w:r>
                          <w:rPr>
                            <w:spacing w:val="-7"/>
                            <w:w w:val="105"/>
                            <w:sz w:val="9"/>
                          </w:rPr>
                          <w:t> </w:t>
                        </w:r>
                        <w:r>
                          <w:rPr>
                            <w:w w:val="105"/>
                            <w:sz w:val="9"/>
                          </w:rPr>
                          <w:t>y</w:t>
                        </w:r>
                        <w:r>
                          <w:rPr>
                            <w:spacing w:val="-3"/>
                            <w:w w:val="105"/>
                            <w:sz w:val="9"/>
                          </w:rPr>
                          <w:t> </w:t>
                        </w:r>
                        <w:r>
                          <w:rPr>
                            <w:w w:val="105"/>
                            <w:sz w:val="9"/>
                          </w:rPr>
                          <w:t>creencias</w:t>
                          <w:tab/>
                          <w:t>8- Trabajo</w:t>
                        </w:r>
                        <w:r>
                          <w:rPr>
                            <w:spacing w:val="-10"/>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1" w:val="left" w:leader="none"/>
                          </w:tabs>
                          <w:spacing w:before="1"/>
                          <w:ind w:right="27"/>
                          <w:jc w:val="right"/>
                          <w:rPr>
                            <w:sz w:val="9"/>
                          </w:rPr>
                        </w:pPr>
                        <w:r>
                          <w:rPr>
                            <w:w w:val="105"/>
                            <w:sz w:val="9"/>
                          </w:rPr>
                          <w:t>16-</w:t>
                        </w:r>
                        <w:r>
                          <w:rPr>
                            <w:spacing w:val="-3"/>
                            <w:w w:val="105"/>
                            <w:sz w:val="9"/>
                          </w:rPr>
                          <w:t> </w:t>
                        </w:r>
                        <w:r>
                          <w:rPr>
                            <w:w w:val="105"/>
                            <w:sz w:val="9"/>
                          </w:rPr>
                          <w:t>Danza</w:t>
                          <w:tab/>
                          <w:t>9- Medicina</w:t>
                        </w:r>
                        <w:r>
                          <w:rPr>
                            <w:spacing w:val="-10"/>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1" w:val="left" w:leader="none"/>
                          </w:tabs>
                          <w:ind w:left="440"/>
                          <w:jc w:val="center"/>
                          <w:rPr>
                            <w:sz w:val="9"/>
                          </w:rPr>
                        </w:pPr>
                        <w:r>
                          <w:rPr>
                            <w:w w:val="105"/>
                            <w:sz w:val="9"/>
                          </w:rPr>
                          <w:t>15- Música</w:t>
                        </w:r>
                        <w:r>
                          <w:rPr>
                            <w:spacing w:val="-8"/>
                            <w:w w:val="105"/>
                            <w:sz w:val="9"/>
                          </w:rPr>
                          <w:t> </w:t>
                        </w:r>
                        <w:r>
                          <w:rPr>
                            <w:w w:val="105"/>
                            <w:sz w:val="9"/>
                          </w:rPr>
                          <w:t>(tradicional,</w:t>
                        </w:r>
                        <w:r>
                          <w:rPr>
                            <w:spacing w:val="-3"/>
                            <w:w w:val="105"/>
                            <w:sz w:val="9"/>
                          </w:rPr>
                          <w:t> </w:t>
                        </w:r>
                        <w:r>
                          <w:rPr>
                            <w:w w:val="105"/>
                            <w:sz w:val="9"/>
                          </w:rPr>
                          <w:t>costumbre</w:t>
                          <w:tab/>
                          <w:t>10- Parteras</w:t>
                        </w:r>
                        <w:r>
                          <w:rPr>
                            <w:spacing w:val="-1"/>
                            <w:w w:val="105"/>
                            <w:sz w:val="9"/>
                          </w:rPr>
                          <w:t> </w:t>
                        </w:r>
                        <w:r>
                          <w:rPr>
                            <w:w w:val="105"/>
                            <w:sz w:val="9"/>
                          </w:rPr>
                          <w:t>tradicionales</w:t>
                        </w:r>
                      </w:p>
                      <w:p>
                        <w:pPr>
                          <w:pStyle w:val="TableParagraph"/>
                          <w:rPr>
                            <w:sz w:val="10"/>
                          </w:rPr>
                        </w:pPr>
                      </w:p>
                      <w:p>
                        <w:pPr>
                          <w:pStyle w:val="TableParagraph"/>
                          <w:spacing w:before="6"/>
                          <w:rPr>
                            <w:sz w:val="14"/>
                          </w:rPr>
                        </w:pPr>
                      </w:p>
                      <w:p>
                        <w:pPr>
                          <w:pStyle w:val="TableParagraph"/>
                          <w:tabs>
                            <w:tab w:pos="4194" w:val="left" w:leader="none"/>
                          </w:tabs>
                          <w:spacing w:line="163" w:lineRule="auto"/>
                          <w:ind w:left="376"/>
                          <w:jc w:val="center"/>
                          <w:rPr>
                            <w:sz w:val="9"/>
                          </w:rPr>
                        </w:pPr>
                        <w:r>
                          <w:rPr>
                            <w:w w:val="105"/>
                            <w:sz w:val="9"/>
                          </w:rPr>
                          <w:t>14- Lugares sagrados</w:t>
                        </w:r>
                        <w:r>
                          <w:rPr>
                            <w:spacing w:val="-9"/>
                            <w:w w:val="105"/>
                            <w:sz w:val="9"/>
                          </w:rPr>
                          <w:t> </w:t>
                        </w:r>
                        <w:r>
                          <w:rPr>
                            <w:w w:val="105"/>
                            <w:sz w:val="9"/>
                          </w:rPr>
                          <w:t>(cerros,</w:t>
                        </w:r>
                        <w:r>
                          <w:rPr>
                            <w:spacing w:val="-5"/>
                            <w:w w:val="105"/>
                            <w:sz w:val="9"/>
                          </w:rPr>
                          <w:t> </w:t>
                        </w:r>
                        <w:r>
                          <w:rPr>
                            <w:w w:val="105"/>
                            <w:sz w:val="9"/>
                          </w:rPr>
                          <w:t>cuevas,</w:t>
                          <w:tab/>
                        </w:r>
                        <w:r>
                          <w:rPr>
                            <w:w w:val="105"/>
                            <w:position w:val="-4"/>
                            <w:sz w:val="9"/>
                          </w:rPr>
                          <w:t>11- Médicos tradicionales</w:t>
                        </w:r>
                      </w:p>
                      <w:p>
                        <w:pPr>
                          <w:pStyle w:val="TableParagraph"/>
                          <w:spacing w:line="82" w:lineRule="exact"/>
                          <w:ind w:left="2138"/>
                          <w:rPr>
                            <w:sz w:val="9"/>
                          </w:rPr>
                        </w:pPr>
                        <w:r>
                          <w:rPr>
                            <w:w w:val="105"/>
                            <w:sz w:val="9"/>
                          </w:rPr>
                          <w:t>piedras…)</w:t>
                        </w:r>
                      </w:p>
                      <w:p>
                        <w:pPr>
                          <w:pStyle w:val="TableParagraph"/>
                          <w:tabs>
                            <w:tab w:pos="4655" w:val="left" w:leader="none"/>
                            <w:tab w:pos="4850" w:val="left" w:leader="none"/>
                          </w:tabs>
                          <w:spacing w:line="249" w:lineRule="auto" w:before="8"/>
                          <w:ind w:left="2910" w:right="1525" w:hanging="497"/>
                          <w:rPr>
                            <w:sz w:val="9"/>
                          </w:rPr>
                        </w:pPr>
                        <w:r>
                          <w:rPr>
                            <w:w w:val="105"/>
                            <w:sz w:val="9"/>
                          </w:rPr>
                          <w:t>13- Relación del ciclo</w:t>
                        </w:r>
                        <w:r>
                          <w:rPr>
                            <w:spacing w:val="-11"/>
                            <w:w w:val="105"/>
                            <w:sz w:val="9"/>
                          </w:rPr>
                          <w:t> </w:t>
                        </w:r>
                        <w:r>
                          <w:rPr>
                            <w:w w:val="105"/>
                            <w:sz w:val="9"/>
                          </w:rPr>
                          <w:t>económico</w:t>
                        </w:r>
                        <w:r>
                          <w:rPr>
                            <w:spacing w:val="-4"/>
                            <w:w w:val="105"/>
                            <w:sz w:val="9"/>
                          </w:rPr>
                          <w:t> </w:t>
                        </w:r>
                        <w:r>
                          <w:rPr>
                            <w:w w:val="105"/>
                            <w:sz w:val="9"/>
                          </w:rPr>
                          <w:t>con</w:t>
                          <w:tab/>
                          <w:t>12- Fiestas del pueblo: Patronal,</w:t>
                        </w:r>
                        <w:r>
                          <w:rPr>
                            <w:spacing w:val="-17"/>
                            <w:w w:val="105"/>
                            <w:sz w:val="9"/>
                          </w:rPr>
                          <w:t> </w:t>
                        </w:r>
                        <w:r>
                          <w:rPr>
                            <w:w w:val="105"/>
                            <w:sz w:val="9"/>
                          </w:rPr>
                          <w:t>santos, ceremonias</w:t>
                          <w:tab/>
                          <w:tab/>
                          <w:t>carnaval, agrícola o</w:t>
                        </w:r>
                        <w:r>
                          <w:rPr>
                            <w:spacing w:val="-4"/>
                            <w:w w:val="105"/>
                            <w:sz w:val="9"/>
                          </w:rPr>
                          <w:t> </w:t>
                        </w:r>
                        <w:r>
                          <w:rPr>
                            <w:w w:val="105"/>
                            <w:sz w:val="9"/>
                          </w:rPr>
                          <w:t>climática</w:t>
                        </w:r>
                      </w:p>
                    </w:tc>
                    <w:tc>
                      <w:tcPr>
                        <w:tcW w:w="1082" w:type="dxa"/>
                      </w:tcPr>
                      <w:p>
                        <w:pPr>
                          <w:pStyle w:val="TableParagraph"/>
                          <w:spacing w:before="12"/>
                          <w:ind w:left="302"/>
                          <w:rPr>
                            <w:sz w:val="14"/>
                          </w:rPr>
                        </w:pPr>
                        <w:r>
                          <w:rPr>
                            <w:w w:val="105"/>
                            <w:sz w:val="14"/>
                          </w:rPr>
                          <w:t>130530144</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3"/>
                          </w:rPr>
                        </w:pPr>
                      </w:p>
                      <w:p>
                        <w:pPr>
                          <w:pStyle w:val="TableParagraph"/>
                          <w:ind w:left="31"/>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1"/>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line="249" w:lineRule="auto" w:before="88"/>
                          <w:ind w:left="149" w:right="-3" w:hanging="165"/>
                          <w:rPr>
                            <w:sz w:val="9"/>
                          </w:rPr>
                        </w:pPr>
                        <w:r>
                          <w:rPr>
                            <w:w w:val="105"/>
                            <w:sz w:val="9"/>
                          </w:rPr>
                          <w:t>Costumbres para resolver</w:t>
                        </w:r>
                        <w:r>
                          <w:rPr>
                            <w:spacing w:val="-18"/>
                            <w:w w:val="105"/>
                            <w:sz w:val="9"/>
                          </w:rPr>
                          <w:t> </w:t>
                        </w:r>
                        <w:r>
                          <w:rPr>
                            <w:spacing w:val="-4"/>
                            <w:w w:val="105"/>
                            <w:sz w:val="9"/>
                          </w:rPr>
                          <w:t>sus </w:t>
                        </w: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0"/>
                          <w:ind w:left="12"/>
                          <w:rPr>
                            <w:sz w:val="9"/>
                          </w:rPr>
                        </w:pPr>
                        <w:r>
                          <w:rPr>
                            <w:w w:val="105"/>
                            <w:sz w:val="9"/>
                          </w:rPr>
                          <w:t>unitario</w:t>
                        </w:r>
                      </w:p>
                    </w:tc>
                  </w:tr>
                  <w:tr>
                    <w:trPr>
                      <w:trHeight w:val="45" w:hRule="atLeast"/>
                    </w:trPr>
                    <w:tc>
                      <w:tcPr>
                        <w:tcW w:w="7678" w:type="dxa"/>
                      </w:tcPr>
                      <w:p>
                        <w:pPr>
                          <w:pStyle w:val="TableParagraph"/>
                          <w:rPr>
                            <w:sz w:val="2"/>
                          </w:rPr>
                        </w:pPr>
                      </w:p>
                    </w:tc>
                    <w:tc>
                      <w:tcPr>
                        <w:tcW w:w="1082" w:type="dxa"/>
                      </w:tcPr>
                      <w:p>
                        <w:pPr>
                          <w:pStyle w:val="TableParagraph"/>
                          <w:rPr>
                            <w:sz w:val="2"/>
                          </w:rPr>
                        </w:pPr>
                      </w:p>
                    </w:tc>
                  </w:tr>
                  <w:tr>
                    <w:trPr>
                      <w:trHeight w:val="45" w:hRule="atLeast"/>
                    </w:trPr>
                    <w:tc>
                      <w:tcPr>
                        <w:tcW w:w="7678" w:type="dxa"/>
                      </w:tcPr>
                      <w:p>
                        <w:pPr>
                          <w:pStyle w:val="TableParagraph"/>
                          <w:rPr>
                            <w:sz w:val="2"/>
                          </w:rPr>
                        </w:pPr>
                      </w:p>
                    </w:tc>
                    <w:tc>
                      <w:tcPr>
                        <w:tcW w:w="1082" w:type="dxa"/>
                      </w:tcPr>
                      <w:p>
                        <w:pPr>
                          <w:pStyle w:val="TableParagraph"/>
                          <w:rPr>
                            <w:sz w:val="2"/>
                          </w:rPr>
                        </w:pPr>
                      </w:p>
                    </w:tc>
                  </w:tr>
                  <w:tr>
                    <w:trPr>
                      <w:trHeight w:val="2006" w:hRule="atLeast"/>
                    </w:trPr>
                    <w:tc>
                      <w:tcPr>
                        <w:tcW w:w="7678"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1"/>
                          <w:rPr>
                            <w:sz w:val="13"/>
                          </w:rPr>
                        </w:pPr>
                        <w:r>
                          <w:rPr>
                            <w:w w:val="105"/>
                            <w:sz w:val="13"/>
                          </w:rPr>
                          <w:t>*% de PHLI Nacional (INEGI, 2010)</w:t>
                        </w:r>
                      </w:p>
                    </w:tc>
                    <w:tc>
                      <w:tcPr>
                        <w:tcW w:w="1082" w:type="dxa"/>
                      </w:tcPr>
                      <w:p>
                        <w:pPr>
                          <w:pStyle w:val="TableParagraph"/>
                          <w:rPr>
                            <w:sz w:val="10"/>
                          </w:rPr>
                        </w:pPr>
                      </w:p>
                    </w:tc>
                  </w:tr>
                  <w:tr>
                    <w:trPr>
                      <w:trHeight w:val="168" w:hRule="atLeast"/>
                    </w:trPr>
                    <w:tc>
                      <w:tcPr>
                        <w:tcW w:w="8760" w:type="dxa"/>
                        <w:gridSpan w:val="2"/>
                      </w:tcPr>
                      <w:p>
                        <w:pPr>
                          <w:pStyle w:val="TableParagraph"/>
                          <w:spacing w:line="130" w:lineRule="exact" w:before="17"/>
                          <w:ind w:left="111"/>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2019-05-30T04:46:12Z</dcterms:created>
  <dcterms:modified xsi:type="dcterms:W3CDTF">2019-05-30T04:46:12Z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