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BD" w:rsidRDefault="00807139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3F8F15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spacing w:before="1"/>
        <w:rPr>
          <w:sz w:val="28"/>
        </w:rPr>
      </w:pPr>
    </w:p>
    <w:p w:rsidR="00D71BBD" w:rsidRDefault="00807139">
      <w:pPr>
        <w:spacing w:before="82" w:line="490" w:lineRule="exact"/>
        <w:ind w:left="3688" w:right="4986"/>
        <w:jc w:val="center"/>
        <w:rPr>
          <w:b/>
          <w:sz w:val="44"/>
        </w:rPr>
      </w:pPr>
      <w:r>
        <w:rPr>
          <w:b/>
          <w:color w:val="231F20"/>
          <w:sz w:val="44"/>
        </w:rPr>
        <w:t>El Zapote</w:t>
      </w:r>
    </w:p>
    <w:p w:rsidR="00D71BBD" w:rsidRDefault="00807139">
      <w:pPr>
        <w:spacing w:line="260" w:lineRule="exact"/>
        <w:ind w:left="3689" w:right="4986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52337" cy="44131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37" cy="441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HGOXOC011</w:t>
      </w: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spacing w:before="10"/>
        <w:rPr>
          <w:sz w:val="18"/>
        </w:rPr>
      </w:pPr>
    </w:p>
    <w:p w:rsidR="00D71BBD" w:rsidRDefault="00807139">
      <w:pPr>
        <w:spacing w:before="90"/>
        <w:ind w:right="1414"/>
        <w:jc w:val="right"/>
        <w:rPr>
          <w:sz w:val="24"/>
        </w:rPr>
      </w:pPr>
      <w:r>
        <w:rPr>
          <w:color w:val="231F20"/>
          <w:sz w:val="24"/>
        </w:rPr>
        <w:t>El Zapote: 130780030</w:t>
      </w:r>
    </w:p>
    <w:p w:rsidR="00D71BBD" w:rsidRDefault="00D71BBD">
      <w:pPr>
        <w:jc w:val="right"/>
        <w:rPr>
          <w:sz w:val="24"/>
        </w:rPr>
        <w:sectPr w:rsidR="00D71BB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807139">
      <w:pPr>
        <w:spacing w:before="218"/>
        <w:ind w:left="3689" w:right="498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71BBD" w:rsidRDefault="00807139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Zapote</w:t>
      </w:r>
      <w:r>
        <w:t xml:space="preserve">, del Municipio de Xochiatipan, con </w:t>
      </w:r>
      <w:r>
        <w:t xml:space="preserve">clave INEGI </w:t>
      </w:r>
      <w:r>
        <w:rPr>
          <w:b/>
        </w:rPr>
        <w:t>130780030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HGOXOC011</w:t>
      </w:r>
      <w:r>
        <w:t>.</w:t>
      </w:r>
    </w:p>
    <w:p w:rsidR="00D71BBD" w:rsidRDefault="00D71BBD">
      <w:pPr>
        <w:pStyle w:val="Textoindependiente"/>
        <w:rPr>
          <w:sz w:val="24"/>
        </w:rPr>
      </w:pPr>
    </w:p>
    <w:p w:rsidR="00D71BBD" w:rsidRDefault="00807139">
      <w:pPr>
        <w:pStyle w:val="Textoindependiente"/>
        <w:ind w:left="401" w:right="1697"/>
        <w:jc w:val="both"/>
      </w:pPr>
      <w:r>
        <w:rPr>
          <w:b/>
        </w:rPr>
        <w:t xml:space="preserve">El Zapote </w:t>
      </w:r>
      <w:r>
        <w:t>mantiene una intensa vida social que es ar</w:t>
      </w:r>
      <w:r>
        <w:t xml:space="preserve">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 Ejidal como algunas de las máximas autoridades al interior de la comunidad.</w:t>
      </w:r>
    </w:p>
    <w:p w:rsidR="00D71BBD" w:rsidRDefault="00D71BBD">
      <w:pPr>
        <w:pStyle w:val="Textoindependiente"/>
      </w:pPr>
    </w:p>
    <w:p w:rsidR="00D71BBD" w:rsidRDefault="00807139">
      <w:pPr>
        <w:pStyle w:val="Textoindependiente"/>
        <w:spacing w:before="1"/>
        <w:ind w:left="401" w:right="1697"/>
        <w:jc w:val="both"/>
      </w:pPr>
      <w:r>
        <w:t>Con un 84 por ciento de Hablantes de Lengua Indígena, se advierte</w:t>
      </w:r>
      <w:r>
        <w:t xml:space="preserve"> el uso del náhuatl como primera lengua.</w:t>
      </w:r>
    </w:p>
    <w:p w:rsidR="00D71BBD" w:rsidRDefault="00D71BBD">
      <w:pPr>
        <w:pStyle w:val="Textoindependiente"/>
        <w:spacing w:before="10"/>
        <w:rPr>
          <w:sz w:val="21"/>
        </w:rPr>
      </w:pPr>
    </w:p>
    <w:p w:rsidR="00D71BBD" w:rsidRDefault="00807139">
      <w:pPr>
        <w:pStyle w:val="Textoindependiente"/>
        <w:spacing w:before="1"/>
        <w:ind w:left="401" w:right="1697"/>
        <w:jc w:val="both"/>
      </w:pPr>
      <w:r>
        <w:t>Sobre las prácticas culturales, se observa que las Fiestas Patronales, el Carnaval, el Día de Muertos, entre otras, mantienen su fuerza y carácter unificador. También se constató que otras ceremonias y ritos agríco</w:t>
      </w:r>
      <w:r>
        <w:t>las se están dejando porque la agricultura ha tenido resultados poco productivos, por lo que los medios de sobrevivencia se dirigen hacia la migración tanto estatal como fuera del país.</w:t>
      </w:r>
    </w:p>
    <w:p w:rsidR="00D71BBD" w:rsidRDefault="00D71BBD">
      <w:pPr>
        <w:pStyle w:val="Textoindependiente"/>
        <w:spacing w:before="11"/>
        <w:rPr>
          <w:sz w:val="21"/>
        </w:rPr>
      </w:pPr>
    </w:p>
    <w:p w:rsidR="00D71BBD" w:rsidRDefault="00807139">
      <w:pPr>
        <w:pStyle w:val="Textoindependiente"/>
        <w:ind w:left="401" w:right="1695"/>
        <w:jc w:val="both"/>
      </w:pPr>
      <w:r>
        <w:t xml:space="preserve">En cuanto a la impartición de justicia se da principalmente al interior de la comunidad siendo el </w:t>
      </w:r>
      <w:proofErr w:type="gramStart"/>
      <w:r>
        <w:t>Delegado</w:t>
      </w:r>
      <w:proofErr w:type="gramEnd"/>
      <w:r>
        <w:t xml:space="preserve"> y su comitiva quienes se encargan de resolver las problemáticas.</w:t>
      </w:r>
    </w:p>
    <w:p w:rsidR="00D71BBD" w:rsidRDefault="00D71BBD">
      <w:pPr>
        <w:pStyle w:val="Textoindependiente"/>
        <w:spacing w:before="4"/>
        <w:rPr>
          <w:sz w:val="23"/>
        </w:rPr>
      </w:pPr>
    </w:p>
    <w:p w:rsidR="00D71BBD" w:rsidRDefault="00807139">
      <w:pPr>
        <w:pStyle w:val="Textoindependiente"/>
        <w:spacing w:before="1"/>
        <w:ind w:left="401" w:right="1700"/>
        <w:jc w:val="both"/>
      </w:pPr>
      <w:r>
        <w:t>No se dispone de servicios de salud, se asiste a la comunidad vecina para recibir a</w:t>
      </w:r>
      <w:r>
        <w:t>tención médica; la medicina tradicional es requerida y practicada para el tratamiento de “enfermedades culturales”; las parteras han sido sustituidas por médicos que atienden los partos en comunidades vecinas.</w:t>
      </w:r>
    </w:p>
    <w:p w:rsidR="00D71BBD" w:rsidRDefault="00D71BBD">
      <w:pPr>
        <w:jc w:val="both"/>
        <w:sectPr w:rsidR="00D71BBD">
          <w:pgSz w:w="12240" w:h="15840"/>
          <w:pgMar w:top="1060" w:right="0" w:bottom="280" w:left="1300" w:header="720" w:footer="720" w:gutter="0"/>
          <w:cols w:space="720"/>
        </w:sect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807139" w:rsidRDefault="00807139">
      <w:pPr>
        <w:pStyle w:val="Textoindependiente"/>
        <w:rPr>
          <w:sz w:val="20"/>
        </w:rPr>
      </w:pPr>
    </w:p>
    <w:p w:rsidR="00807139" w:rsidRDefault="00807139">
      <w:pPr>
        <w:pStyle w:val="Textoindependiente"/>
        <w:rPr>
          <w:sz w:val="20"/>
        </w:rPr>
      </w:pPr>
    </w:p>
    <w:p w:rsidR="00807139" w:rsidRDefault="00807139">
      <w:pPr>
        <w:pStyle w:val="Textoindependiente"/>
        <w:rPr>
          <w:sz w:val="20"/>
        </w:rPr>
      </w:pPr>
    </w:p>
    <w:p w:rsidR="00807139" w:rsidRDefault="00807139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71BBD">
        <w:trPr>
          <w:trHeight w:val="759"/>
        </w:trPr>
        <w:tc>
          <w:tcPr>
            <w:tcW w:w="7544" w:type="dxa"/>
            <w:gridSpan w:val="3"/>
          </w:tcPr>
          <w:p w:rsidR="00D71BBD" w:rsidRDefault="00807139">
            <w:pPr>
              <w:pStyle w:val="TableParagraph"/>
              <w:spacing w:before="0" w:line="193" w:lineRule="exact"/>
              <w:ind w:left="2917" w:right="28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Zapote, Xochiatipan</w:t>
            </w:r>
          </w:p>
        </w:tc>
      </w:tr>
      <w:tr w:rsidR="00D71BBD">
        <w:trPr>
          <w:trHeight w:val="741"/>
        </w:trPr>
        <w:tc>
          <w:tcPr>
            <w:tcW w:w="4640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D71BBD" w:rsidRDefault="00D71BBD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D71BBD" w:rsidRDefault="00807139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71BBD">
        <w:trPr>
          <w:trHeight w:val="189"/>
        </w:trPr>
        <w:tc>
          <w:tcPr>
            <w:tcW w:w="4640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D71BBD" w:rsidRDefault="0080713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71BBD" w:rsidRDefault="00807139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HGOXOC011</w:t>
            </w:r>
          </w:p>
        </w:tc>
      </w:tr>
      <w:tr w:rsidR="00D71BBD">
        <w:trPr>
          <w:trHeight w:val="369"/>
        </w:trPr>
        <w:tc>
          <w:tcPr>
            <w:tcW w:w="4640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D71BBD" w:rsidRDefault="00807139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71BBD" w:rsidRDefault="00807139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130780030</w:t>
            </w:r>
          </w:p>
        </w:tc>
      </w:tr>
      <w:tr w:rsidR="00D71BB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71BBD" w:rsidRDefault="00807139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71BBD" w:rsidRDefault="0080713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71BBD" w:rsidRDefault="0080713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71BB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71BBD" w:rsidRDefault="0080713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71BBD" w:rsidRDefault="0080713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71BBD">
        <w:trPr>
          <w:trHeight w:val="185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5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5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5"/>
        </w:trPr>
        <w:tc>
          <w:tcPr>
            <w:tcW w:w="4640" w:type="dxa"/>
            <w:shd w:val="clear" w:color="auto" w:fill="FFFF00"/>
          </w:tcPr>
          <w:p w:rsidR="00D71BBD" w:rsidRDefault="0080713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71BBD" w:rsidRDefault="008071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71BBD" w:rsidRDefault="0080713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1BBD">
        <w:trPr>
          <w:trHeight w:val="185"/>
        </w:trPr>
        <w:tc>
          <w:tcPr>
            <w:tcW w:w="4640" w:type="dxa"/>
            <w:shd w:val="clear" w:color="auto" w:fill="F9BE8F"/>
          </w:tcPr>
          <w:p w:rsidR="00D71BBD" w:rsidRDefault="0080713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71BBD" w:rsidRDefault="0080713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71BBD" w:rsidRDefault="0080713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71BBD">
        <w:trPr>
          <w:trHeight w:val="184"/>
        </w:trPr>
        <w:tc>
          <w:tcPr>
            <w:tcW w:w="4640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71BBD" w:rsidRDefault="0080713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71BBD">
        <w:trPr>
          <w:trHeight w:val="187"/>
        </w:trPr>
        <w:tc>
          <w:tcPr>
            <w:tcW w:w="4640" w:type="dxa"/>
            <w:shd w:val="clear" w:color="auto" w:fill="DCE6F0"/>
          </w:tcPr>
          <w:p w:rsidR="00D71BBD" w:rsidRDefault="0080713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71BBD" w:rsidRDefault="0080713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71BBD" w:rsidRDefault="0080713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71BBD">
        <w:trPr>
          <w:trHeight w:val="3141"/>
        </w:trPr>
        <w:tc>
          <w:tcPr>
            <w:tcW w:w="4640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71BBD">
        <w:trPr>
          <w:trHeight w:val="185"/>
        </w:trPr>
        <w:tc>
          <w:tcPr>
            <w:tcW w:w="7544" w:type="dxa"/>
            <w:gridSpan w:val="3"/>
          </w:tcPr>
          <w:p w:rsidR="00D71BBD" w:rsidRDefault="00807139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71BBD">
        <w:trPr>
          <w:trHeight w:val="164"/>
        </w:trPr>
        <w:tc>
          <w:tcPr>
            <w:tcW w:w="4640" w:type="dxa"/>
          </w:tcPr>
          <w:p w:rsidR="00D71BBD" w:rsidRDefault="0080713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D71BBD" w:rsidRDefault="00D71BB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71BBD" w:rsidRDefault="00D71BBD">
      <w:pPr>
        <w:rPr>
          <w:sz w:val="10"/>
        </w:rPr>
        <w:sectPr w:rsidR="00D71BBD">
          <w:pgSz w:w="11910" w:h="16840"/>
          <w:pgMar w:top="1600" w:right="0" w:bottom="280" w:left="1680" w:header="720" w:footer="720" w:gutter="0"/>
          <w:cols w:space="720"/>
        </w:sectPr>
      </w:pPr>
    </w:p>
    <w:p w:rsidR="00D71BBD" w:rsidRDefault="0080713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385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71BB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807139">
            <w:pPr>
              <w:pStyle w:val="TableParagraph"/>
              <w:spacing w:before="0" w:line="193" w:lineRule="exact"/>
              <w:ind w:left="7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Zapote,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71BB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807139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807139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HGOXOC011</w:t>
            </w:r>
          </w:p>
        </w:tc>
      </w:tr>
      <w:tr w:rsidR="00D71BB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D71BB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807139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71BBD" w:rsidRDefault="00807139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130780030</w:t>
            </w:r>
          </w:p>
        </w:tc>
      </w:tr>
      <w:tr w:rsidR="00D71BB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1BBD" w:rsidRDefault="00D71BBD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1BBD" w:rsidRDefault="00D71BBD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1BBD" w:rsidRDefault="0080713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71BBD" w:rsidRDefault="00D71BBD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D71BB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71BBD" w:rsidRDefault="00807139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71BBD" w:rsidRDefault="00807139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71BBD" w:rsidRDefault="00807139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71BBD" w:rsidRDefault="0080713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71BB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92D050"/>
          </w:tcPr>
          <w:p w:rsidR="00D71BBD" w:rsidRDefault="0080713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1BBD" w:rsidRDefault="008071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92D050"/>
          </w:tcPr>
          <w:p w:rsidR="00D71BBD" w:rsidRDefault="0080713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1BBD" w:rsidRDefault="008071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1BBD" w:rsidRDefault="0080713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92D050"/>
          </w:tcPr>
          <w:p w:rsidR="00D71BBD" w:rsidRDefault="0080713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1BBD" w:rsidRDefault="008071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92D050"/>
          </w:tcPr>
          <w:p w:rsidR="00D71BBD" w:rsidRDefault="0080713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1BBD" w:rsidRDefault="008071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71BB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D71BBD" w:rsidRDefault="00807139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92D050"/>
          </w:tcPr>
          <w:p w:rsidR="00D71BBD" w:rsidRDefault="00807139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71BBD" w:rsidRDefault="008071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71BBD" w:rsidRDefault="00D71BBD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D71BBD" w:rsidRDefault="00807139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FFFF00"/>
          </w:tcPr>
          <w:p w:rsidR="00D71BBD" w:rsidRDefault="0080713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71BBD" w:rsidRDefault="008071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FFFF00"/>
          </w:tcPr>
          <w:p w:rsidR="00D71BBD" w:rsidRDefault="0080713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71BBD" w:rsidRDefault="0080713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F9BE8F"/>
          </w:tcPr>
          <w:p w:rsidR="00D71BBD" w:rsidRDefault="0080713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71BBD" w:rsidRDefault="0080713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shd w:val="clear" w:color="auto" w:fill="F9BE8F"/>
          </w:tcPr>
          <w:p w:rsidR="00D71BBD" w:rsidRDefault="0080713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D71BBD" w:rsidRDefault="0080713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80713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71BBD" w:rsidRDefault="00D71BB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71BBD" w:rsidRDefault="00D71BB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71BBD" w:rsidRDefault="00807139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71BBD" w:rsidRDefault="0080713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71BBD" w:rsidRDefault="0080713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71BBD" w:rsidRDefault="00D71BBD">
            <w:pPr>
              <w:rPr>
                <w:sz w:val="2"/>
                <w:szCs w:val="2"/>
              </w:rPr>
            </w:pPr>
          </w:p>
        </w:tc>
      </w:tr>
      <w:tr w:rsidR="00D71BB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71BBD" w:rsidRDefault="0080713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71BBD" w:rsidRDefault="00D71BBD">
      <w:pPr>
        <w:spacing w:line="107" w:lineRule="exact"/>
        <w:rPr>
          <w:sz w:val="11"/>
        </w:rPr>
        <w:sectPr w:rsidR="00D71BBD">
          <w:pgSz w:w="11910" w:h="16840"/>
          <w:pgMar w:top="1600" w:right="0" w:bottom="280" w:left="1680" w:header="720" w:footer="720" w:gutter="0"/>
          <w:cols w:space="720"/>
        </w:sect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spacing w:before="2"/>
        <w:rPr>
          <w:sz w:val="19"/>
        </w:rPr>
      </w:pPr>
    </w:p>
    <w:p w:rsidR="00D71BBD" w:rsidRDefault="00807139">
      <w:pPr>
        <w:ind w:left="3481" w:right="4938"/>
        <w:jc w:val="center"/>
        <w:rPr>
          <w:b/>
          <w:sz w:val="17"/>
        </w:rPr>
      </w:pPr>
      <w:r>
        <w:rPr>
          <w:b/>
          <w:w w:val="105"/>
          <w:sz w:val="17"/>
        </w:rPr>
        <w:t>El Zapote, Xochiatipan</w:t>
      </w:r>
    </w:p>
    <w:p w:rsidR="00D71BBD" w:rsidRDefault="00D71BBD">
      <w:pPr>
        <w:pStyle w:val="Textoindependiente"/>
        <w:spacing w:before="6"/>
        <w:rPr>
          <w:b/>
          <w:sz w:val="23"/>
        </w:rPr>
      </w:pPr>
    </w:p>
    <w:p w:rsidR="00D71BBD" w:rsidRDefault="00807139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HGOXOC011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130780030</w:t>
      </w:r>
    </w:p>
    <w:p w:rsidR="00D71BBD" w:rsidRDefault="00D71BBD">
      <w:pPr>
        <w:spacing w:line="264" w:lineRule="auto"/>
        <w:rPr>
          <w:sz w:val="14"/>
        </w:rPr>
        <w:sectPr w:rsidR="00D71BBD">
          <w:pgSz w:w="11910" w:h="16840"/>
          <w:pgMar w:top="1600" w:right="0" w:bottom="280" w:left="1680" w:header="720" w:footer="720" w:gutter="0"/>
          <w:cols w:space="720"/>
        </w:sectPr>
      </w:pPr>
    </w:p>
    <w:p w:rsidR="00D71BBD" w:rsidRDefault="00807139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D71BBD" w:rsidRDefault="00807139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7568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5980,2870,5604,5599r751,l6254,3502r2382,l8728,3058r-51,-749l8458,1693r-1763,l6716,556r-736,l4548,516xm8636,3502r-2382,l7718,5007r512,-548l8575,3793r61,-291xm4145,1919r1160,811l3231,3058,5980,2870,4145,1919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7718,5007,6254,3502r101,2097l5604,5599,5980,2870,4241,5007,5980,2870,3231,3058,5305,2730,4145,1919r1835,951l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D71BBD" w:rsidRDefault="00807139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D71BBD" w:rsidRDefault="00D71BBD">
      <w:pPr>
        <w:rPr>
          <w:sz w:val="8"/>
        </w:rPr>
        <w:sectPr w:rsidR="00D71BBD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D71BBD" w:rsidRDefault="00807139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D71BBD" w:rsidRDefault="00807139">
      <w:pPr>
        <w:spacing w:before="160"/>
        <w:ind w:left="3011" w:right="493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D71BBD" w:rsidRDefault="00807139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D71BBD" w:rsidRDefault="00807139">
      <w:pPr>
        <w:spacing w:before="218"/>
        <w:ind w:left="3011" w:right="493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D71BBD" w:rsidRDefault="00807139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D71BBD" w:rsidRDefault="00807139">
      <w:pPr>
        <w:spacing w:before="132"/>
        <w:ind w:left="3011" w:right="493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D71BBD" w:rsidRDefault="00D71BBD">
      <w:pPr>
        <w:jc w:val="center"/>
        <w:rPr>
          <w:sz w:val="7"/>
        </w:rPr>
        <w:sectPr w:rsidR="00D71BBD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D71BBD" w:rsidRDefault="00D71BBD">
      <w:pPr>
        <w:pStyle w:val="Textoindependiente"/>
        <w:rPr>
          <w:b/>
          <w:sz w:val="10"/>
        </w:rPr>
      </w:pPr>
    </w:p>
    <w:p w:rsidR="00D71BBD" w:rsidRDefault="00D71BBD">
      <w:pPr>
        <w:pStyle w:val="Textoindependiente"/>
        <w:rPr>
          <w:b/>
          <w:sz w:val="10"/>
        </w:rPr>
      </w:pPr>
    </w:p>
    <w:p w:rsidR="00D71BBD" w:rsidRDefault="00D71BBD">
      <w:pPr>
        <w:pStyle w:val="Textoindependiente"/>
        <w:rPr>
          <w:b/>
          <w:sz w:val="10"/>
        </w:rPr>
      </w:pPr>
    </w:p>
    <w:p w:rsidR="00D71BBD" w:rsidRDefault="00807139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8"/>
        <w:rPr>
          <w:sz w:val="9"/>
        </w:rPr>
      </w:pPr>
    </w:p>
    <w:p w:rsidR="00D71BBD" w:rsidRDefault="00807139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5"/>
        <w:rPr>
          <w:sz w:val="8"/>
        </w:rPr>
      </w:pPr>
    </w:p>
    <w:p w:rsidR="00D71BBD" w:rsidRDefault="00807139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3"/>
        <w:rPr>
          <w:sz w:val="12"/>
        </w:rPr>
      </w:pPr>
    </w:p>
    <w:p w:rsidR="00D71BBD" w:rsidRDefault="00807139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7"/>
        <w:rPr>
          <w:sz w:val="11"/>
        </w:rPr>
      </w:pPr>
    </w:p>
    <w:p w:rsidR="00D71BBD" w:rsidRDefault="00807139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10"/>
        <w:rPr>
          <w:sz w:val="12"/>
        </w:rPr>
      </w:pPr>
    </w:p>
    <w:p w:rsidR="00D71BBD" w:rsidRDefault="00807139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D71BBD" w:rsidRDefault="00807139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D71BBD" w:rsidRDefault="00807139">
      <w:pPr>
        <w:pStyle w:val="Textoindependiente"/>
        <w:rPr>
          <w:sz w:val="8"/>
        </w:rPr>
      </w:pPr>
      <w:r>
        <w:br w:type="column"/>
      </w:r>
    </w:p>
    <w:p w:rsidR="00D71BBD" w:rsidRDefault="00D71BBD">
      <w:pPr>
        <w:pStyle w:val="Textoindependiente"/>
        <w:rPr>
          <w:sz w:val="8"/>
        </w:rPr>
      </w:pPr>
    </w:p>
    <w:p w:rsidR="00D71BBD" w:rsidRDefault="00D71BBD">
      <w:pPr>
        <w:pStyle w:val="Textoindependiente"/>
        <w:rPr>
          <w:sz w:val="8"/>
        </w:rPr>
      </w:pPr>
    </w:p>
    <w:p w:rsidR="00D71BBD" w:rsidRDefault="00D71BBD">
      <w:pPr>
        <w:pStyle w:val="Textoindependiente"/>
        <w:rPr>
          <w:sz w:val="8"/>
        </w:rPr>
      </w:pPr>
    </w:p>
    <w:p w:rsidR="00D71BBD" w:rsidRDefault="00D71BBD">
      <w:pPr>
        <w:pStyle w:val="Textoindependiente"/>
        <w:spacing w:before="11"/>
        <w:rPr>
          <w:sz w:val="8"/>
        </w:rPr>
      </w:pPr>
    </w:p>
    <w:p w:rsidR="00D71BBD" w:rsidRDefault="00807139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D71BBD" w:rsidRDefault="00D71BBD">
      <w:pPr>
        <w:pStyle w:val="Textoindependiente"/>
        <w:rPr>
          <w:b/>
          <w:sz w:val="8"/>
        </w:rPr>
      </w:pPr>
    </w:p>
    <w:p w:rsidR="00D71BBD" w:rsidRDefault="00D71BBD">
      <w:pPr>
        <w:pStyle w:val="Textoindependiente"/>
        <w:rPr>
          <w:b/>
          <w:sz w:val="8"/>
        </w:rPr>
      </w:pPr>
    </w:p>
    <w:p w:rsidR="00D71BBD" w:rsidRDefault="00D71BBD">
      <w:pPr>
        <w:pStyle w:val="Textoindependiente"/>
        <w:rPr>
          <w:b/>
          <w:sz w:val="8"/>
        </w:rPr>
      </w:pPr>
    </w:p>
    <w:p w:rsidR="00D71BBD" w:rsidRDefault="00D71BBD">
      <w:pPr>
        <w:pStyle w:val="Textoindependiente"/>
        <w:rPr>
          <w:b/>
          <w:sz w:val="8"/>
        </w:rPr>
      </w:pPr>
    </w:p>
    <w:p w:rsidR="00D71BBD" w:rsidRDefault="00D71BBD">
      <w:pPr>
        <w:pStyle w:val="Textoindependiente"/>
        <w:spacing w:before="10"/>
        <w:rPr>
          <w:b/>
          <w:sz w:val="8"/>
        </w:rPr>
      </w:pPr>
    </w:p>
    <w:p w:rsidR="00D71BBD" w:rsidRDefault="00807139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D71BBD" w:rsidRDefault="00807139">
      <w:pPr>
        <w:pStyle w:val="Textoindependiente"/>
        <w:rPr>
          <w:b/>
          <w:sz w:val="10"/>
        </w:rPr>
      </w:pPr>
      <w:r>
        <w:br w:type="column"/>
      </w:r>
    </w:p>
    <w:p w:rsidR="00D71BBD" w:rsidRDefault="00D71BBD">
      <w:pPr>
        <w:pStyle w:val="Textoindependiente"/>
        <w:rPr>
          <w:b/>
          <w:sz w:val="10"/>
        </w:rPr>
      </w:pPr>
    </w:p>
    <w:p w:rsidR="00D71BBD" w:rsidRDefault="00D71BBD">
      <w:pPr>
        <w:pStyle w:val="Textoindependiente"/>
        <w:rPr>
          <w:b/>
          <w:sz w:val="10"/>
        </w:rPr>
      </w:pPr>
    </w:p>
    <w:p w:rsidR="00D71BBD" w:rsidRDefault="00807139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807139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4"/>
        <w:rPr>
          <w:sz w:val="13"/>
        </w:rPr>
      </w:pPr>
    </w:p>
    <w:p w:rsidR="00D71BBD" w:rsidRDefault="00807139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2"/>
        <w:rPr>
          <w:sz w:val="12"/>
        </w:rPr>
      </w:pPr>
    </w:p>
    <w:p w:rsidR="00D71BBD" w:rsidRDefault="00807139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6"/>
        <w:rPr>
          <w:sz w:val="11"/>
        </w:rPr>
      </w:pPr>
    </w:p>
    <w:p w:rsidR="00D71BBD" w:rsidRDefault="00807139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D71BBD" w:rsidRDefault="00D71BBD">
      <w:pPr>
        <w:pStyle w:val="Textoindependiente"/>
        <w:rPr>
          <w:sz w:val="10"/>
        </w:rPr>
      </w:pPr>
    </w:p>
    <w:p w:rsidR="00D71BBD" w:rsidRDefault="00D71BBD">
      <w:pPr>
        <w:pStyle w:val="Textoindependiente"/>
        <w:spacing w:before="4"/>
        <w:rPr>
          <w:sz w:val="11"/>
        </w:rPr>
      </w:pPr>
    </w:p>
    <w:p w:rsidR="00D71BBD" w:rsidRDefault="00807139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D71BBD" w:rsidRDefault="00807139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D71BBD" w:rsidRDefault="00D71BBD">
      <w:pPr>
        <w:rPr>
          <w:sz w:val="8"/>
        </w:rPr>
        <w:sectPr w:rsidR="00D71BBD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spacing w:before="8"/>
        <w:rPr>
          <w:sz w:val="15"/>
        </w:rPr>
      </w:pPr>
    </w:p>
    <w:p w:rsidR="00D71BBD" w:rsidRDefault="00D71BBD">
      <w:pPr>
        <w:pStyle w:val="Textoindependiente"/>
        <w:spacing w:before="5"/>
        <w:rPr>
          <w:sz w:val="8"/>
        </w:rPr>
      </w:pPr>
    </w:p>
    <w:p w:rsidR="00D71BBD" w:rsidRDefault="00807139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552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rPr>
          <w:sz w:val="20"/>
        </w:rPr>
      </w:pPr>
    </w:p>
    <w:p w:rsidR="00D71BBD" w:rsidRDefault="00D71BBD">
      <w:pPr>
        <w:pStyle w:val="Textoindependiente"/>
        <w:spacing w:before="2"/>
      </w:pPr>
    </w:p>
    <w:p w:rsidR="00D71BBD" w:rsidRDefault="00807139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D71BBD" w:rsidRDefault="00807139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D71BBD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BBD"/>
    <w:rsid w:val="00807139"/>
    <w:rsid w:val="00D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6ADAF15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2019-05-29T16:25:00Z</dcterms:created>
  <dcterms:modified xsi:type="dcterms:W3CDTF">2019-05-29T18:40:00Z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